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5184B">
      <w:pPr>
        <w:spacing w:line="840" w:lineRule="exact"/>
        <w:jc w:val="both"/>
        <w:outlineLvl w:val="0"/>
        <w:rPr>
          <w:rStyle w:val="10"/>
          <w:rFonts w:ascii="黑体" w:eastAsia="黑体"/>
          <w:b/>
          <w:sz w:val="52"/>
          <w:szCs w:val="52"/>
        </w:rPr>
      </w:pPr>
    </w:p>
    <w:p w14:paraId="2135A324">
      <w:pPr>
        <w:spacing w:line="840" w:lineRule="exact"/>
        <w:jc w:val="center"/>
        <w:outlineLvl w:val="0"/>
        <w:rPr>
          <w:rStyle w:val="10"/>
          <w:rFonts w:ascii="黑体" w:eastAsia="黑体"/>
          <w:b/>
          <w:sz w:val="52"/>
          <w:szCs w:val="52"/>
        </w:rPr>
      </w:pPr>
      <w:r>
        <w:rPr>
          <w:rStyle w:val="10"/>
          <w:rFonts w:ascii="黑体" w:eastAsia="黑体"/>
          <w:b/>
          <w:sz w:val="52"/>
          <w:szCs w:val="52"/>
        </w:rPr>
        <w:t>锡林浩特市矿产资源总体规划</w:t>
      </w:r>
    </w:p>
    <w:p w14:paraId="4C982F51">
      <w:pPr>
        <w:spacing w:line="840" w:lineRule="exact"/>
        <w:jc w:val="center"/>
        <w:rPr>
          <w:rStyle w:val="10"/>
          <w:rFonts w:ascii="黑体" w:eastAsia="黑体"/>
          <w:b/>
          <w:sz w:val="52"/>
          <w:szCs w:val="52"/>
        </w:rPr>
      </w:pPr>
      <w:r>
        <w:rPr>
          <w:rStyle w:val="10"/>
          <w:rFonts w:ascii="黑体" w:eastAsia="黑体"/>
          <w:b/>
          <w:sz w:val="52"/>
          <w:szCs w:val="52"/>
        </w:rPr>
        <w:t>（2021-2025年）</w:t>
      </w:r>
    </w:p>
    <w:p w14:paraId="560D603A">
      <w:pPr>
        <w:spacing w:line="840" w:lineRule="exact"/>
        <w:jc w:val="center"/>
        <w:rPr>
          <w:rStyle w:val="10"/>
          <w:rFonts w:hint="eastAsia" w:ascii="黑体" w:eastAsia="黑体"/>
          <w:b/>
          <w:sz w:val="52"/>
          <w:szCs w:val="52"/>
          <w:lang w:val="en-US" w:eastAsia="zh-CN"/>
        </w:rPr>
      </w:pPr>
    </w:p>
    <w:p w14:paraId="3F0A3FE4">
      <w:pPr>
        <w:pStyle w:val="12"/>
      </w:pPr>
    </w:p>
    <w:p w14:paraId="4D9DF3C5">
      <w:pPr>
        <w:pStyle w:val="12"/>
      </w:pPr>
    </w:p>
    <w:p w14:paraId="5D5A9AD5">
      <w:pPr>
        <w:pStyle w:val="12"/>
      </w:pPr>
    </w:p>
    <w:p w14:paraId="470EDC12">
      <w:pPr>
        <w:pStyle w:val="12"/>
      </w:pPr>
    </w:p>
    <w:p w14:paraId="7DA211CA">
      <w:pPr>
        <w:spacing w:line="840" w:lineRule="exact"/>
        <w:jc w:val="center"/>
        <w:rPr>
          <w:rStyle w:val="10"/>
          <w:rFonts w:ascii="仿宋_GB2312" w:eastAsia="仿宋_GB2312"/>
          <w:b/>
          <w:sz w:val="52"/>
          <w:szCs w:val="52"/>
        </w:rPr>
      </w:pPr>
    </w:p>
    <w:p w14:paraId="29B75D0D">
      <w:pPr>
        <w:spacing w:line="640" w:lineRule="exact"/>
        <w:jc w:val="both"/>
        <w:rPr>
          <w:rStyle w:val="10"/>
          <w:rFonts w:ascii="仿宋_GB2312" w:eastAsia="仿宋_GB2312"/>
          <w:b/>
          <w:sz w:val="32"/>
          <w:szCs w:val="30"/>
        </w:rPr>
      </w:pPr>
    </w:p>
    <w:p w14:paraId="4165548E">
      <w:pPr>
        <w:spacing w:line="640" w:lineRule="exact"/>
        <w:jc w:val="center"/>
        <w:rPr>
          <w:rStyle w:val="10"/>
          <w:rFonts w:ascii="仿宋_GB2312" w:eastAsia="仿宋_GB2312"/>
          <w:b/>
          <w:sz w:val="32"/>
          <w:szCs w:val="30"/>
        </w:rPr>
      </w:pPr>
    </w:p>
    <w:p w14:paraId="1EC9CD75">
      <w:pPr>
        <w:spacing w:line="640" w:lineRule="exact"/>
        <w:jc w:val="center"/>
        <w:rPr>
          <w:rStyle w:val="10"/>
          <w:rFonts w:ascii="仿宋_GB2312" w:eastAsia="仿宋_GB2312"/>
          <w:b/>
          <w:sz w:val="32"/>
          <w:szCs w:val="30"/>
        </w:rPr>
      </w:pPr>
    </w:p>
    <w:p w14:paraId="7A7EA3C7">
      <w:pPr>
        <w:spacing w:line="640" w:lineRule="exact"/>
        <w:jc w:val="center"/>
        <w:rPr>
          <w:rStyle w:val="10"/>
          <w:rFonts w:ascii="仿宋_GB2312" w:eastAsia="仿宋_GB2312"/>
          <w:b/>
          <w:sz w:val="32"/>
          <w:szCs w:val="30"/>
        </w:rPr>
      </w:pPr>
    </w:p>
    <w:p w14:paraId="1A9CC71C">
      <w:pPr>
        <w:spacing w:line="640" w:lineRule="exact"/>
        <w:jc w:val="center"/>
        <w:rPr>
          <w:rStyle w:val="10"/>
          <w:rFonts w:ascii="仿宋_GB2312" w:eastAsia="仿宋_GB2312"/>
          <w:b/>
          <w:sz w:val="32"/>
          <w:szCs w:val="30"/>
        </w:rPr>
      </w:pPr>
    </w:p>
    <w:p w14:paraId="5C630FFD">
      <w:pPr>
        <w:spacing w:line="640" w:lineRule="exact"/>
        <w:jc w:val="both"/>
        <w:rPr>
          <w:rStyle w:val="10"/>
          <w:rFonts w:ascii="仿宋_GB2312" w:eastAsia="仿宋_GB2312"/>
          <w:b/>
          <w:sz w:val="32"/>
          <w:szCs w:val="30"/>
        </w:rPr>
      </w:pPr>
    </w:p>
    <w:p w14:paraId="7D26695E">
      <w:pPr>
        <w:spacing w:line="640" w:lineRule="exact"/>
        <w:jc w:val="center"/>
        <w:rPr>
          <w:rStyle w:val="10"/>
          <w:rFonts w:ascii="仿宋_GB2312" w:eastAsia="仿宋_GB2312"/>
          <w:b/>
          <w:sz w:val="32"/>
          <w:szCs w:val="30"/>
        </w:rPr>
      </w:pPr>
    </w:p>
    <w:p w14:paraId="225BACDB">
      <w:pPr>
        <w:spacing w:line="640" w:lineRule="exact"/>
        <w:jc w:val="center"/>
        <w:outlineLvl w:val="0"/>
        <w:rPr>
          <w:rStyle w:val="10"/>
          <w:rFonts w:ascii="宋体" w:hAnsi="宋体" w:eastAsia="仿宋_GB2312"/>
          <w:b/>
          <w:sz w:val="32"/>
          <w:szCs w:val="30"/>
        </w:rPr>
      </w:pPr>
      <w:r>
        <w:rPr>
          <w:rStyle w:val="10"/>
          <w:rFonts w:ascii="宋体" w:hAnsi="宋体" w:eastAsia="仿宋_GB2312"/>
          <w:b/>
          <w:sz w:val="32"/>
          <w:szCs w:val="30"/>
        </w:rPr>
        <w:t>锡林浩特市人民政府</w:t>
      </w:r>
    </w:p>
    <w:p w14:paraId="140AED8C">
      <w:pPr>
        <w:spacing w:line="640" w:lineRule="exact"/>
        <w:jc w:val="center"/>
        <w:rPr>
          <w:rStyle w:val="10"/>
          <w:rFonts w:ascii="宋体" w:hAnsi="宋体" w:eastAsia="仿宋_GB2312"/>
          <w:b/>
          <w:sz w:val="32"/>
          <w:szCs w:val="30"/>
        </w:rPr>
      </w:pPr>
      <w:r>
        <w:rPr>
          <w:rStyle w:val="10"/>
          <w:sz w:val="30"/>
        </w:rPr>
        <mc:AlternateContent>
          <mc:Choice Requires="wps">
            <w:drawing>
              <wp:anchor distT="0" distB="0" distL="114300" distR="114300" simplePos="0" relativeHeight="251659264" behindDoc="0" locked="0" layoutInCell="1" allowOverlap="1">
                <wp:simplePos x="0" y="0"/>
                <wp:positionH relativeFrom="column">
                  <wp:posOffset>2536825</wp:posOffset>
                </wp:positionH>
                <wp:positionV relativeFrom="paragraph">
                  <wp:posOffset>1124585</wp:posOffset>
                </wp:positionV>
                <wp:extent cx="914400" cy="693420"/>
                <wp:effectExtent l="0" t="0" r="0" b="11430"/>
                <wp:wrapNone/>
                <wp:docPr id="1" name="文本框 3"/>
                <wp:cNvGraphicFramePr/>
                <a:graphic xmlns:a="http://schemas.openxmlformats.org/drawingml/2006/main">
                  <a:graphicData uri="http://schemas.microsoft.com/office/word/2010/wordprocessingShape">
                    <wps:wsp>
                      <wps:cNvSpPr txBox="1"/>
                      <wps:spPr>
                        <a:xfrm>
                          <a:off x="0" y="0"/>
                          <a:ext cx="914400" cy="693420"/>
                        </a:xfrm>
                        <a:prstGeom prst="rect">
                          <a:avLst/>
                        </a:prstGeom>
                        <a:solidFill>
                          <a:srgbClr val="FFFFFF"/>
                        </a:solidFill>
                        <a:ln>
                          <a:noFill/>
                        </a:ln>
                      </wps:spPr>
                      <wps:txbx>
                        <w:txbxContent>
                          <w:p w14:paraId="2604BC2A">
                            <w:pPr>
                              <w:rPr>
                                <w:rStyle w:val="10"/>
                                <w:rFonts w:eastAsia="仿宋_GB2312"/>
                                <w:sz w:val="24"/>
                              </w:rPr>
                            </w:pPr>
                          </w:p>
                          <w:p w14:paraId="55B54704">
                            <w:pPr>
                              <w:rPr>
                                <w:rStyle w:val="10"/>
                              </w:rPr>
                            </w:pPr>
                          </w:p>
                        </w:txbxContent>
                      </wps:txbx>
                      <wps:bodyPr upright="1"/>
                    </wps:wsp>
                  </a:graphicData>
                </a:graphic>
              </wp:anchor>
            </w:drawing>
          </mc:Choice>
          <mc:Fallback>
            <w:pict>
              <v:shape id="文本框 3" o:spid="_x0000_s1026" o:spt="202" type="#_x0000_t202" style="position:absolute;left:0pt;margin-left:199.75pt;margin-top:88.55pt;height:54.6pt;width:72pt;z-index:251659264;mso-width-relative:page;mso-height-relative:page;" fillcolor="#FFFFFF" filled="t" stroked="f" coordsize="21600,21600" o:gfxdata="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TX5T82AAAAAsBAAAPAAAAAAAAAAEAIAAAACIAAABkcnMvZG93bnJldi54&#10;bWxQSwECFAAUAAAACACHTuJA+4e2bsEBAAB2AwAADgAAAAAAAAABACAAAAAnAQAAZHJzL2Uyb0Rv&#10;Yy54bWxQSwUGAAAAAAYABgBZAQAAWgUAAAAA&#10;">
                <v:fill on="t" focussize="0,0"/>
                <v:stroke on="f"/>
                <v:imagedata o:title=""/>
                <o:lock v:ext="edit" aspectratio="f"/>
                <v:textbox>
                  <w:txbxContent>
                    <w:p w14:paraId="2604BC2A">
                      <w:pPr>
                        <w:rPr>
                          <w:rStyle w:val="10"/>
                          <w:rFonts w:eastAsia="仿宋_GB2312"/>
                          <w:sz w:val="24"/>
                        </w:rPr>
                      </w:pPr>
                    </w:p>
                    <w:p w14:paraId="55B54704">
                      <w:pPr>
                        <w:rPr>
                          <w:rStyle w:val="10"/>
                        </w:rPr>
                      </w:pPr>
                    </w:p>
                  </w:txbxContent>
                </v:textbox>
              </v:shape>
            </w:pict>
          </mc:Fallback>
        </mc:AlternateContent>
      </w:r>
      <w:r>
        <w:rPr>
          <w:rStyle w:val="10"/>
          <w:rFonts w:ascii="宋体" w:hAnsi="宋体" w:eastAsia="仿宋_GB2312"/>
          <w:b/>
          <w:sz w:val="32"/>
          <w:szCs w:val="30"/>
        </w:rPr>
        <w:t>二○二二年九月</w:t>
      </w:r>
    </w:p>
    <w:p w14:paraId="7E6C74C3">
      <w:pPr>
        <w:spacing w:line="552" w:lineRule="auto"/>
        <w:jc w:val="center"/>
        <w:rPr>
          <w:rStyle w:val="10"/>
          <w:rFonts w:ascii="黑体" w:eastAsia="黑体"/>
          <w:b/>
          <w:sz w:val="32"/>
          <w:szCs w:val="32"/>
        </w:rPr>
      </w:pPr>
      <w:r>
        <w:rPr>
          <w:rStyle w:val="10"/>
          <w:rFonts w:ascii="宋体" w:hAnsi="宋体" w:eastAsia="仿宋_GB2312"/>
          <w:b/>
          <w:sz w:val="32"/>
          <w:szCs w:val="30"/>
        </w:rPr>
        <w:br w:type="page"/>
      </w:r>
      <w:r>
        <w:rPr>
          <w:rStyle w:val="10"/>
          <w:rFonts w:ascii="黑体" w:eastAsia="黑体"/>
          <w:b/>
          <w:sz w:val="32"/>
          <w:szCs w:val="32"/>
        </w:rPr>
        <w:t>目   录</w:t>
      </w:r>
    </w:p>
    <w:p w14:paraId="392C3A46">
      <w:pPr>
        <w:pStyle w:val="30"/>
        <w:tabs>
          <w:tab w:val="right" w:leader="dot" w:pos="8306"/>
        </w:tabs>
        <w:rPr>
          <w:rStyle w:val="10"/>
          <w:rFonts w:ascii="Times New Roman" w:hAnsi="Times New Roman"/>
          <w:sz w:val="30"/>
          <w:szCs w:val="30"/>
        </w:rPr>
      </w:pPr>
      <w:r>
        <w:rPr>
          <w:rStyle w:val="10"/>
          <w:rFonts w:ascii="Times New Roman" w:hAnsi="Times New Roman" w:eastAsia="黑体"/>
          <w:sz w:val="30"/>
          <w:szCs w:val="30"/>
        </w:rPr>
        <w:t>总  则</w:t>
      </w:r>
      <w:r>
        <w:rPr>
          <w:rStyle w:val="10"/>
          <w:rFonts w:ascii="Times New Roman" w:hAnsi="Times New Roman"/>
          <w:sz w:val="30"/>
          <w:szCs w:val="30"/>
        </w:rPr>
        <w:tab/>
      </w:r>
      <w:r>
        <w:rPr>
          <w:rStyle w:val="10"/>
          <w:rFonts w:ascii="Times New Roman" w:hAnsi="Times New Roman"/>
          <w:sz w:val="30"/>
          <w:szCs w:val="30"/>
        </w:rPr>
        <w:t>1</w:t>
      </w:r>
    </w:p>
    <w:p w14:paraId="1ED7DF7F">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第一章  现状与形势</w:t>
      </w:r>
      <w:r>
        <w:rPr>
          <w:rStyle w:val="10"/>
          <w:rFonts w:ascii="Times New Roman" w:hAnsi="Times New Roman"/>
          <w:sz w:val="30"/>
          <w:szCs w:val="30"/>
        </w:rPr>
        <w:tab/>
      </w:r>
      <w:r>
        <w:rPr>
          <w:rStyle w:val="10"/>
          <w:rFonts w:ascii="Times New Roman" w:hAnsi="Times New Roman"/>
          <w:sz w:val="30"/>
          <w:szCs w:val="30"/>
        </w:rPr>
        <w:t>2</w:t>
      </w:r>
    </w:p>
    <w:p w14:paraId="2209D02B">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矿产资源现状</w:t>
      </w:r>
      <w:r>
        <w:rPr>
          <w:rStyle w:val="10"/>
          <w:rFonts w:ascii="Times New Roman" w:hAnsi="Times New Roman"/>
          <w:sz w:val="30"/>
          <w:szCs w:val="30"/>
        </w:rPr>
        <w:tab/>
      </w:r>
      <w:r>
        <w:rPr>
          <w:rStyle w:val="10"/>
          <w:rFonts w:ascii="Times New Roman" w:hAnsi="Times New Roman"/>
          <w:sz w:val="30"/>
          <w:szCs w:val="30"/>
        </w:rPr>
        <w:t>2</w:t>
      </w:r>
    </w:p>
    <w:p w14:paraId="116A3D55">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上轮规划实施成效</w:t>
      </w:r>
      <w:r>
        <w:rPr>
          <w:rStyle w:val="10"/>
          <w:rFonts w:ascii="Times New Roman" w:hAnsi="Times New Roman"/>
          <w:sz w:val="30"/>
          <w:szCs w:val="30"/>
        </w:rPr>
        <w:tab/>
      </w:r>
      <w:r>
        <w:rPr>
          <w:rStyle w:val="10"/>
          <w:rFonts w:ascii="Times New Roman" w:hAnsi="Times New Roman"/>
          <w:sz w:val="30"/>
          <w:szCs w:val="30"/>
        </w:rPr>
        <w:t>7</w:t>
      </w:r>
    </w:p>
    <w:p w14:paraId="688CF03E">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形势与要求</w:t>
      </w:r>
      <w:r>
        <w:rPr>
          <w:rStyle w:val="10"/>
          <w:rFonts w:ascii="Times New Roman" w:hAnsi="Times New Roman"/>
          <w:sz w:val="30"/>
          <w:szCs w:val="30"/>
        </w:rPr>
        <w:tab/>
      </w:r>
      <w:r>
        <w:rPr>
          <w:rStyle w:val="10"/>
          <w:rFonts w:ascii="Times New Roman" w:hAnsi="Times New Roman"/>
          <w:sz w:val="30"/>
          <w:szCs w:val="30"/>
        </w:rPr>
        <w:t>9</w:t>
      </w:r>
    </w:p>
    <w:p w14:paraId="4E20843D">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第二章  指导思想、基本原则与规划目标</w:t>
      </w:r>
      <w:r>
        <w:rPr>
          <w:rStyle w:val="10"/>
          <w:rFonts w:ascii="Times New Roman" w:hAnsi="Times New Roman"/>
          <w:sz w:val="30"/>
          <w:szCs w:val="30"/>
        </w:rPr>
        <w:tab/>
      </w:r>
      <w:r>
        <w:rPr>
          <w:rStyle w:val="10"/>
          <w:rFonts w:ascii="Times New Roman" w:hAnsi="Times New Roman"/>
          <w:sz w:val="30"/>
          <w:szCs w:val="30"/>
        </w:rPr>
        <w:t>12</w:t>
      </w:r>
    </w:p>
    <w:p w14:paraId="4C543305">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指导思想</w:t>
      </w:r>
      <w:r>
        <w:rPr>
          <w:rStyle w:val="10"/>
          <w:rFonts w:ascii="Times New Roman" w:hAnsi="Times New Roman"/>
          <w:sz w:val="30"/>
          <w:szCs w:val="30"/>
        </w:rPr>
        <w:tab/>
      </w:r>
      <w:r>
        <w:rPr>
          <w:rStyle w:val="10"/>
          <w:rFonts w:ascii="Times New Roman" w:hAnsi="Times New Roman"/>
          <w:sz w:val="30"/>
          <w:szCs w:val="30"/>
        </w:rPr>
        <w:t>12</w:t>
      </w:r>
    </w:p>
    <w:p w14:paraId="3FB66A0C">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基本原则</w:t>
      </w:r>
      <w:r>
        <w:rPr>
          <w:rStyle w:val="10"/>
          <w:rFonts w:ascii="Times New Roman" w:hAnsi="Times New Roman"/>
          <w:sz w:val="30"/>
          <w:szCs w:val="30"/>
        </w:rPr>
        <w:tab/>
      </w:r>
      <w:r>
        <w:rPr>
          <w:rStyle w:val="10"/>
          <w:rFonts w:ascii="Times New Roman" w:hAnsi="Times New Roman"/>
          <w:sz w:val="30"/>
          <w:szCs w:val="30"/>
        </w:rPr>
        <w:t>12</w:t>
      </w:r>
    </w:p>
    <w:p w14:paraId="13F73E86">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规划目标</w:t>
      </w:r>
      <w:r>
        <w:rPr>
          <w:rStyle w:val="10"/>
          <w:rFonts w:ascii="Times New Roman" w:hAnsi="Times New Roman"/>
          <w:sz w:val="30"/>
          <w:szCs w:val="30"/>
        </w:rPr>
        <w:tab/>
      </w:r>
      <w:r>
        <w:rPr>
          <w:rStyle w:val="10"/>
          <w:rFonts w:ascii="Times New Roman" w:hAnsi="Times New Roman"/>
          <w:sz w:val="30"/>
          <w:szCs w:val="30"/>
        </w:rPr>
        <w:t>14</w:t>
      </w:r>
    </w:p>
    <w:p w14:paraId="16EEDA25">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第三章  矿产资源勘查开发总体布局</w:t>
      </w:r>
      <w:r>
        <w:rPr>
          <w:rStyle w:val="10"/>
          <w:rFonts w:ascii="Times New Roman" w:hAnsi="Times New Roman"/>
          <w:sz w:val="30"/>
          <w:szCs w:val="30"/>
        </w:rPr>
        <w:tab/>
      </w:r>
      <w:r>
        <w:rPr>
          <w:rStyle w:val="10"/>
          <w:rFonts w:ascii="Times New Roman" w:hAnsi="Times New Roman"/>
          <w:sz w:val="30"/>
          <w:szCs w:val="30"/>
        </w:rPr>
        <w:t>16</w:t>
      </w:r>
    </w:p>
    <w:p w14:paraId="22B34084">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矿产资源勘查开发调控方向</w:t>
      </w:r>
      <w:r>
        <w:rPr>
          <w:rStyle w:val="10"/>
          <w:rFonts w:ascii="Times New Roman" w:hAnsi="Times New Roman"/>
          <w:sz w:val="30"/>
          <w:szCs w:val="30"/>
        </w:rPr>
        <w:tab/>
      </w:r>
      <w:r>
        <w:rPr>
          <w:rStyle w:val="10"/>
          <w:rFonts w:ascii="Times New Roman" w:hAnsi="Times New Roman"/>
          <w:sz w:val="30"/>
          <w:szCs w:val="30"/>
        </w:rPr>
        <w:t>16</w:t>
      </w:r>
    </w:p>
    <w:p w14:paraId="6060ACD2">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落实能源资源安全保障</w:t>
      </w:r>
      <w:r>
        <w:rPr>
          <w:rStyle w:val="10"/>
          <w:rFonts w:ascii="Times New Roman" w:hAnsi="Times New Roman"/>
          <w:sz w:val="30"/>
          <w:szCs w:val="30"/>
        </w:rPr>
        <w:tab/>
      </w:r>
      <w:r>
        <w:rPr>
          <w:rStyle w:val="10"/>
          <w:rFonts w:ascii="Times New Roman" w:hAnsi="Times New Roman"/>
          <w:sz w:val="30"/>
          <w:szCs w:val="30"/>
        </w:rPr>
        <w:t>16</w:t>
      </w:r>
    </w:p>
    <w:p w14:paraId="14DCFFC1">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建筑用砂石土集中开采区</w:t>
      </w:r>
      <w:r>
        <w:rPr>
          <w:rStyle w:val="10"/>
          <w:rFonts w:ascii="Times New Roman" w:hAnsi="Times New Roman"/>
          <w:sz w:val="30"/>
          <w:szCs w:val="30"/>
        </w:rPr>
        <w:tab/>
      </w:r>
      <w:r>
        <w:rPr>
          <w:rStyle w:val="10"/>
          <w:rFonts w:ascii="Times New Roman" w:hAnsi="Times New Roman"/>
          <w:sz w:val="30"/>
          <w:szCs w:val="30"/>
        </w:rPr>
        <w:t>19</w:t>
      </w:r>
    </w:p>
    <w:p w14:paraId="204B79AA">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第四章  矿业结构调整与转型升级</w:t>
      </w:r>
      <w:r>
        <w:rPr>
          <w:rStyle w:val="10"/>
          <w:rFonts w:ascii="Times New Roman" w:hAnsi="Times New Roman"/>
          <w:sz w:val="30"/>
          <w:szCs w:val="30"/>
        </w:rPr>
        <w:tab/>
      </w:r>
      <w:r>
        <w:rPr>
          <w:rStyle w:val="10"/>
          <w:rFonts w:ascii="Times New Roman" w:hAnsi="Times New Roman"/>
          <w:sz w:val="30"/>
          <w:szCs w:val="30"/>
        </w:rPr>
        <w:t>20</w:t>
      </w:r>
    </w:p>
    <w:p w14:paraId="45510DA6">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合理调控开采总量</w:t>
      </w:r>
      <w:r>
        <w:rPr>
          <w:rStyle w:val="10"/>
          <w:rFonts w:ascii="Times New Roman" w:hAnsi="Times New Roman"/>
          <w:sz w:val="30"/>
          <w:szCs w:val="30"/>
        </w:rPr>
        <w:tab/>
      </w:r>
      <w:r>
        <w:rPr>
          <w:rStyle w:val="10"/>
          <w:rFonts w:ascii="Times New Roman" w:hAnsi="Times New Roman"/>
          <w:sz w:val="30"/>
          <w:szCs w:val="30"/>
        </w:rPr>
        <w:t>20</w:t>
      </w:r>
    </w:p>
    <w:p w14:paraId="5D5D14A2">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开发利用结构调整</w:t>
      </w:r>
      <w:r>
        <w:rPr>
          <w:rStyle w:val="10"/>
          <w:rFonts w:ascii="Times New Roman" w:hAnsi="Times New Roman"/>
          <w:sz w:val="30"/>
          <w:szCs w:val="30"/>
        </w:rPr>
        <w:tab/>
      </w:r>
      <w:r>
        <w:rPr>
          <w:rStyle w:val="10"/>
          <w:rFonts w:ascii="Times New Roman" w:hAnsi="Times New Roman"/>
          <w:sz w:val="30"/>
          <w:szCs w:val="30"/>
        </w:rPr>
        <w:t>20</w:t>
      </w:r>
    </w:p>
    <w:p w14:paraId="37F38FF8">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节约与综合利用</w:t>
      </w:r>
      <w:r>
        <w:rPr>
          <w:rStyle w:val="10"/>
          <w:rFonts w:ascii="Times New Roman" w:hAnsi="Times New Roman"/>
          <w:sz w:val="30"/>
          <w:szCs w:val="30"/>
        </w:rPr>
        <w:tab/>
      </w:r>
      <w:r>
        <w:rPr>
          <w:rStyle w:val="10"/>
          <w:rFonts w:ascii="Times New Roman" w:hAnsi="Times New Roman"/>
          <w:sz w:val="30"/>
          <w:szCs w:val="30"/>
        </w:rPr>
        <w:t>22</w:t>
      </w:r>
    </w:p>
    <w:p w14:paraId="7A852AA4">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第五章  规划区块划定与勘查开采监督管理</w:t>
      </w:r>
      <w:r>
        <w:rPr>
          <w:rStyle w:val="10"/>
          <w:rFonts w:ascii="Times New Roman" w:hAnsi="Times New Roman"/>
          <w:sz w:val="30"/>
          <w:szCs w:val="30"/>
        </w:rPr>
        <w:tab/>
      </w:r>
      <w:r>
        <w:rPr>
          <w:rStyle w:val="10"/>
          <w:rFonts w:ascii="Times New Roman" w:hAnsi="Times New Roman"/>
          <w:sz w:val="30"/>
          <w:szCs w:val="30"/>
        </w:rPr>
        <w:t>24</w:t>
      </w:r>
    </w:p>
    <w:p w14:paraId="7B6762FA">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矿产资源勘查开采规划区块划定</w:t>
      </w:r>
      <w:r>
        <w:rPr>
          <w:rStyle w:val="10"/>
          <w:rFonts w:ascii="Times New Roman" w:hAnsi="Times New Roman"/>
          <w:sz w:val="30"/>
          <w:szCs w:val="30"/>
        </w:rPr>
        <w:tab/>
      </w:r>
      <w:r>
        <w:rPr>
          <w:rStyle w:val="10"/>
          <w:rFonts w:ascii="Times New Roman" w:hAnsi="Times New Roman"/>
          <w:sz w:val="30"/>
          <w:szCs w:val="30"/>
        </w:rPr>
        <w:t>24</w:t>
      </w:r>
    </w:p>
    <w:p w14:paraId="2CBA73C8">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矿产资源勘查开采监督管理</w:t>
      </w:r>
      <w:r>
        <w:rPr>
          <w:rStyle w:val="10"/>
          <w:rFonts w:ascii="Times New Roman" w:hAnsi="Times New Roman"/>
          <w:sz w:val="30"/>
          <w:szCs w:val="30"/>
        </w:rPr>
        <w:tab/>
      </w:r>
      <w:r>
        <w:rPr>
          <w:rStyle w:val="10"/>
          <w:rFonts w:ascii="Times New Roman" w:hAnsi="Times New Roman"/>
          <w:sz w:val="30"/>
          <w:szCs w:val="30"/>
        </w:rPr>
        <w:t>25</w:t>
      </w:r>
    </w:p>
    <w:p w14:paraId="110BECB9">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严格开采准入条件</w:t>
      </w:r>
      <w:r>
        <w:rPr>
          <w:rStyle w:val="10"/>
          <w:rFonts w:ascii="Times New Roman" w:hAnsi="Times New Roman"/>
          <w:sz w:val="30"/>
          <w:szCs w:val="30"/>
        </w:rPr>
        <w:tab/>
      </w:r>
      <w:r>
        <w:rPr>
          <w:rStyle w:val="10"/>
          <w:rFonts w:ascii="Times New Roman" w:hAnsi="Times New Roman"/>
          <w:sz w:val="30"/>
          <w:szCs w:val="30"/>
        </w:rPr>
        <w:t>27</w:t>
      </w:r>
    </w:p>
    <w:p w14:paraId="1F58AFF3">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第六章  绿色矿山建设与矿山地质环境治理</w:t>
      </w:r>
      <w:r>
        <w:rPr>
          <w:rStyle w:val="10"/>
          <w:rFonts w:ascii="Times New Roman" w:hAnsi="Times New Roman"/>
          <w:sz w:val="30"/>
          <w:szCs w:val="30"/>
        </w:rPr>
        <w:tab/>
      </w:r>
      <w:r>
        <w:rPr>
          <w:rStyle w:val="10"/>
          <w:rFonts w:ascii="Times New Roman" w:hAnsi="Times New Roman"/>
          <w:sz w:val="30"/>
          <w:szCs w:val="30"/>
        </w:rPr>
        <w:t>29</w:t>
      </w:r>
    </w:p>
    <w:p w14:paraId="2E4CB37C">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全面推进绿色矿山建设</w:t>
      </w:r>
      <w:r>
        <w:rPr>
          <w:rStyle w:val="10"/>
          <w:rFonts w:ascii="Times New Roman" w:hAnsi="Times New Roman"/>
          <w:sz w:val="30"/>
          <w:szCs w:val="30"/>
        </w:rPr>
        <w:tab/>
      </w:r>
      <w:r>
        <w:rPr>
          <w:rStyle w:val="10"/>
          <w:rFonts w:ascii="Times New Roman" w:hAnsi="Times New Roman"/>
          <w:sz w:val="30"/>
          <w:szCs w:val="30"/>
        </w:rPr>
        <w:t>29</w:t>
      </w:r>
    </w:p>
    <w:p w14:paraId="57F95C03">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着力加强矿山地质环境治理</w:t>
      </w:r>
      <w:r>
        <w:rPr>
          <w:rStyle w:val="10"/>
          <w:rFonts w:ascii="Times New Roman" w:hAnsi="Times New Roman"/>
          <w:sz w:val="30"/>
          <w:szCs w:val="30"/>
        </w:rPr>
        <w:tab/>
      </w:r>
      <w:r>
        <w:rPr>
          <w:rStyle w:val="10"/>
          <w:rFonts w:ascii="Times New Roman" w:hAnsi="Times New Roman"/>
          <w:sz w:val="30"/>
          <w:szCs w:val="30"/>
        </w:rPr>
        <w:t>31</w:t>
      </w:r>
    </w:p>
    <w:p w14:paraId="56D70928">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第七章  规划实施保障措施</w:t>
      </w:r>
      <w:r>
        <w:rPr>
          <w:rStyle w:val="10"/>
          <w:rFonts w:ascii="Times New Roman" w:hAnsi="Times New Roman"/>
          <w:sz w:val="30"/>
          <w:szCs w:val="30"/>
        </w:rPr>
        <w:tab/>
      </w:r>
      <w:r>
        <w:rPr>
          <w:rStyle w:val="10"/>
          <w:rFonts w:ascii="Times New Roman" w:hAnsi="Times New Roman"/>
          <w:sz w:val="30"/>
          <w:szCs w:val="30"/>
        </w:rPr>
        <w:t>34</w:t>
      </w:r>
    </w:p>
    <w:p w14:paraId="1C7832F2">
      <w:pPr>
        <w:spacing w:line="552" w:lineRule="auto"/>
        <w:jc w:val="center"/>
        <w:rPr>
          <w:rStyle w:val="10"/>
          <w:rFonts w:ascii="Times New Roman" w:hAnsi="Times New Roman" w:eastAsia="仿宋_GB2312"/>
          <w:sz w:val="30"/>
          <w:szCs w:val="30"/>
        </w:rPr>
      </w:pPr>
    </w:p>
    <w:p w14:paraId="6E074F11">
      <w:pPr>
        <w:rPr>
          <w:rStyle w:val="10"/>
          <w:rFonts w:ascii="仿宋_GB2312" w:eastAsia="仿宋_GB2312"/>
          <w:sz w:val="24"/>
        </w:rPr>
      </w:pPr>
    </w:p>
    <w:p w14:paraId="4FB1A0C1">
      <w:pPr>
        <w:rPr>
          <w:rStyle w:val="10"/>
          <w:rFonts w:ascii="仿宋_GB2312" w:eastAsia="仿宋_GB2312"/>
          <w:sz w:val="24"/>
        </w:rPr>
      </w:pPr>
    </w:p>
    <w:p w14:paraId="43966751">
      <w:pPr>
        <w:rPr>
          <w:rStyle w:val="10"/>
          <w:rFonts w:ascii="仿宋_GB2312" w:eastAsia="仿宋_GB2312"/>
          <w:sz w:val="24"/>
        </w:rPr>
      </w:pPr>
    </w:p>
    <w:p w14:paraId="47C4C45E">
      <w:pPr>
        <w:rPr>
          <w:rStyle w:val="10"/>
          <w:rFonts w:ascii="仿宋_GB2312" w:eastAsia="仿宋_GB2312"/>
          <w:sz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17353567">
      <w:pPr>
        <w:spacing w:before="312" w:beforeAutospacing="1" w:after="312" w:afterAutospacing="1" w:line="1280" w:lineRule="exact"/>
        <w:jc w:val="center"/>
        <w:outlineLvl w:val="1"/>
        <w:rPr>
          <w:rStyle w:val="10"/>
          <w:rFonts w:ascii="黑体" w:hAnsi="仿宋_GB2312" w:eastAsia="黑体"/>
          <w:sz w:val="32"/>
          <w:szCs w:val="32"/>
        </w:rPr>
      </w:pPr>
      <w:r>
        <w:rPr>
          <w:rStyle w:val="10"/>
          <w:rFonts w:ascii="黑体" w:hAnsi="仿宋_GB2312" w:eastAsia="黑体"/>
          <w:sz w:val="32"/>
          <w:szCs w:val="32"/>
        </w:rPr>
        <w:t>总  则</w:t>
      </w:r>
    </w:p>
    <w:p w14:paraId="6D392F7D">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为科学合理开发利用和保护矿产资源，深化矿产资源管理改革，促进矿业绿色低碳发展，服务高质量发展，依据《中华人民共和国矿产资源法》及其配套法律法规、《矿产资源规划编制实施办法》、《内蒙古自治区矿产资源总体规划（2021-2025年）》、《锡林郭勒盟矿产资源总体规划（2021-2025年）》、《锡林浩特市国民经济和社会发展第十四个五年规划纲要》等，编制《锡林浩特市矿产资源总体规划（2021-2025年）》（以下简称《规划》）。</w:t>
      </w:r>
    </w:p>
    <w:p w14:paraId="77DDCDF3">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规划》是落实国家资源安全、加强和改善矿产资源宏观管理的重要手段，是依法审批和监督管理矿产资源勘查和开发利用与保护活动的重要依据。涉及与锡林浩特市矿产资源勘查开发活动的相关行业及区域规划，应与本《规划》做好衔接。</w:t>
      </w:r>
    </w:p>
    <w:p w14:paraId="1BA71919">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《规划》适用范围为锡林浩特市所辖行政区域内的矿产资源。</w:t>
      </w:r>
    </w:p>
    <w:p w14:paraId="1BE0C8AD">
      <w:pPr>
        <w:spacing w:line="360" w:lineRule="auto"/>
        <w:ind w:firstLine="482"/>
        <w:rPr>
          <w:rStyle w:val="10"/>
          <w:rFonts w:ascii="宋体" w:hAnsi="宋体" w:eastAsia="仿宋_GB2312"/>
          <w:sz w:val="32"/>
          <w:szCs w:val="28"/>
        </w:rPr>
      </w:pPr>
      <w:r>
        <w:rPr>
          <w:rStyle w:val="10"/>
          <w:rFonts w:ascii="宋体" w:hAnsi="宋体" w:eastAsia="仿宋_GB2312"/>
          <w:sz w:val="32"/>
          <w:szCs w:val="28"/>
        </w:rPr>
        <w:t>《规划》基期为2020年，规划期为2021-2025年，展望到2035年。</w:t>
      </w:r>
    </w:p>
    <w:p w14:paraId="1402E1E5">
      <w:pPr>
        <w:spacing w:line="360" w:lineRule="auto"/>
        <w:ind w:firstLine="482"/>
        <w:rPr>
          <w:rStyle w:val="10"/>
          <w:rFonts w:ascii="宋体" w:hAnsi="宋体" w:eastAsia="仿宋_GB2312"/>
          <w:sz w:val="32"/>
          <w:szCs w:val="28"/>
        </w:rPr>
      </w:pPr>
    </w:p>
    <w:p w14:paraId="0739344D">
      <w:pPr>
        <w:pStyle w:val="13"/>
        <w:spacing w:before="156" w:after="156" w:line="1280" w:lineRule="exact"/>
        <w:jc w:val="center"/>
        <w:outlineLvl w:val="0"/>
        <w:rPr>
          <w:rStyle w:val="10"/>
          <w:rFonts w:ascii="黑体" w:hAnsi="仿宋_GB2312" w:eastAsia="黑体"/>
          <w:sz w:val="32"/>
          <w:szCs w:val="32"/>
        </w:rPr>
      </w:pPr>
      <w:r>
        <w:rPr>
          <w:rStyle w:val="10"/>
          <w:rFonts w:ascii="仿宋_GB2312" w:hAnsi="仿宋_GB2312" w:eastAsia="仿宋_GB2312"/>
          <w:sz w:val="32"/>
          <w:szCs w:val="30"/>
        </w:rPr>
        <w:br w:type="page"/>
      </w:r>
      <w:r>
        <w:rPr>
          <w:rStyle w:val="10"/>
          <w:rFonts w:ascii="黑体" w:hAnsi="仿宋_GB2312" w:eastAsia="黑体"/>
          <w:sz w:val="32"/>
          <w:szCs w:val="32"/>
        </w:rPr>
        <w:t>第一章  现状与形势</w:t>
      </w:r>
    </w:p>
    <w:p w14:paraId="3833CA04">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矿产资源现状</w:t>
      </w:r>
    </w:p>
    <w:p w14:paraId="53DF18D2">
      <w:pPr>
        <w:ind w:firstLine="614" w:firstLineChars="192"/>
        <w:outlineLvl w:val="2"/>
        <w:rPr>
          <w:rStyle w:val="10"/>
          <w:rFonts w:ascii="黑体" w:hAnsi="宋体" w:eastAsia="黑体"/>
          <w:sz w:val="32"/>
          <w:szCs w:val="28"/>
        </w:rPr>
      </w:pPr>
      <w:r>
        <w:rPr>
          <w:rStyle w:val="10"/>
          <w:rFonts w:ascii="黑体" w:hAnsi="宋体" w:eastAsia="黑体"/>
          <w:sz w:val="32"/>
          <w:szCs w:val="28"/>
        </w:rPr>
        <w:t>一、自然地理与经济概况</w:t>
      </w:r>
    </w:p>
    <w:p w14:paraId="6BE46F81">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锡林浩特市位于内蒙古自治区中部，地处东北、华北、西北交汇处，是锡林郭勒盟盟府所在地，全盟政治、经济、文化、教育和交通中心。地理坐标为北纬43°02′-44°52′，东经115°18′-117°06′。市境南北长208千米，东西长143千米，总面积14785平方千米，下辖3个苏木、1个镇、8个街道办事处、6个国有农牧场。2020年末，全市常住人口近35万人，是一个居住着汉、蒙、回、藏等多个民族的边疆少数民族地区。</w:t>
      </w:r>
    </w:p>
    <w:p w14:paraId="5FCF7FF1">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锡林浩特市交通便捷，现代交通网络加快构建，公路总里程1555公里，国道207、303和省道101贯穿境内。铁路总里程376公里，已建成锡桑、锡多、锡乌、锡二、胜利东二号专用线、胜利西一、二号专用线等7条铁路。锡林浩特市4C级机场已开通北京、呼和浩特、包头、通辽、重庆等地多条航线。</w:t>
      </w:r>
    </w:p>
    <w:p w14:paraId="74FCEDBE">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锡林浩特市处于内蒙古高原中部，地势南高北低，南部为低山丘陵，北部为平缓的波状平原，平均海拔高度988.5米。地处中纬度西风气流带内，属中温带半干旱大陆性气候，降水量309毫米，无霜期144天。草地是锡林浩特市的主体生态要素，现状草地面积总计</w:t>
      </w:r>
      <w:r>
        <w:rPr>
          <w:rStyle w:val="10"/>
          <w:rFonts w:ascii="仿宋" w:hAnsi="仿宋" w:eastAsia="仿宋"/>
          <w:color w:val="323232"/>
          <w:sz w:val="28"/>
        </w:rPr>
        <w:t>13045</w:t>
      </w:r>
      <w:r>
        <w:rPr>
          <w:rStyle w:val="10"/>
          <w:rFonts w:ascii="宋体" w:hAnsi="宋体" w:eastAsia="仿宋_GB2312"/>
          <w:sz w:val="32"/>
          <w:szCs w:val="28"/>
        </w:rPr>
        <w:t>平方千米，占市域总面积的88.27%。锡林浩特市以拥有美丽富饶的天然草场而著称于世，被联合国教科文组织列入生物圈监测体系，全国第一个草地类自然保护区—锡林郭勒国家级草原自然保护区</w:t>
      </w:r>
      <w:r>
        <w:rPr>
          <w:rStyle w:val="10"/>
          <w:rFonts w:hint="eastAsia" w:ascii="宋体" w:hAnsi="宋体" w:eastAsia="仿宋_GB2312"/>
          <w:sz w:val="32"/>
          <w:szCs w:val="28"/>
          <w:lang w:eastAsia="zh-CN"/>
        </w:rPr>
        <w:t>坐落于</w:t>
      </w:r>
      <w:r>
        <w:rPr>
          <w:rStyle w:val="10"/>
          <w:rFonts w:ascii="宋体" w:hAnsi="宋体" w:eastAsia="仿宋_GB2312"/>
          <w:sz w:val="32"/>
          <w:szCs w:val="28"/>
        </w:rPr>
        <w:t>锡林浩特市境内。</w:t>
      </w:r>
    </w:p>
    <w:p w14:paraId="31B8E15C">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近年来，锡林浩特市坚定不移走以生态优先、绿色发展为导向的高质量发展新路子，发展质量稳步提升，主要经济指标稳中向好。“十三五”时期，全市地区生产总值年均增长7.6%，占全盟的比重达到29.2%，总量继续保持全盟第一。三次产业结构调整为8.1:44.2:47.7，服务业占比提高5.5个百分点，产业结构明显优化。</w:t>
      </w:r>
    </w:p>
    <w:p w14:paraId="42EF36E9">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二、矿产资源概况</w:t>
      </w:r>
    </w:p>
    <w:p w14:paraId="73BA4126">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锡林浩特市矿产资源较为丰富，是自治区重要的煤炭和锗金属矿产产地。截至2020年底，全市已发现各类矿产48种，列入《内蒙古自治区矿产资源储量表》的矿产有18种，上表矿产地共有38处，以煤炭矿产地居多，共有26处；其次为以锗、铌钽、铁、铬、铜等为主的金属矿产地，共有8处；非金属和水气矿产地较少，分别为2处和1处。资源储量规模达大、中型的上表矿产地有28处，占全市上表矿产地的73.68%，其中以煤炭矿产地居多，达22处，其次为金属矿产。已开发利用的上表矿产地有16处，占全市上表矿产地的42.11%，开发矿种以为煤炭为主，其余为铬矿、锗矿、锡多金属矿和水泥用灰岩。煤炭、锗、铌、钽、铷</w:t>
      </w:r>
      <w:r>
        <w:rPr>
          <w:rStyle w:val="10"/>
          <w:rFonts w:eastAsia="仿宋_GB2312"/>
          <w:color w:val="000000"/>
          <w:sz w:val="32"/>
          <w:szCs w:val="32"/>
        </w:rPr>
        <w:t>是本市的资源优势矿产</w:t>
      </w:r>
      <w:r>
        <w:rPr>
          <w:rStyle w:val="10"/>
          <w:rFonts w:ascii="宋体" w:hAnsi="宋体" w:eastAsia="仿宋_GB2312"/>
          <w:sz w:val="32"/>
          <w:szCs w:val="28"/>
        </w:rPr>
        <w:t>。</w:t>
      </w:r>
    </w:p>
    <w:p w14:paraId="3CB8EF95">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本市是能源矿产富集区，以煤为主的能源矿产地集中分布在市内东北部的巴彦宝力格煤田和中部的胜利煤田。截至2020年底，全市煤炭保有资源量达到253.92亿吨，资源量规模达到大型的有13个、中型9个、小型4个。其中以胜利煤田最为突出，是目前全国煤层最厚、储量最大的褐煤煤田，也是自治区3个200亿吨以上煤田之一，已列入国家大型煤电基地；巴彦宝力格煤田是本市第二大型褐煤煤田。</w:t>
      </w:r>
    </w:p>
    <w:p w14:paraId="57780C5D">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本市上表金属矿产多呈零散状分布于市内周边地区，均为多组份共伴生矿，以中小型矿产地为主，大型矿产地较少，仅有2处。其中1处为与褐煤共生的锗矿，分布于胜利煤田区，呈高品位富集，锗保有资源量为2287吨，占全国储量的68%，占世界储量的38%；另1处分布于石灰窑地区，为铌、钽、铷共生矿床，保有资源量分别为5150.15吨、6796.49吨和82020.74吨。本市所禀赋的锡矿、铬矿资源，在自治区也占有重要地位，是自治区该类矿种为数不多的主产区之一。铬矿和锡矿均有2处矿产地上表，其中，铬矿分布于市内北部赫格敖拉地区，保有金属资源量81.9万吨；锡矿分布于市内东部毛登牧场，保有金属资源量8184吨。上表的有色金属矿产地多数资源量规模较小，仅锡林浩特市扎拉格阿木矿区铜矿达到中型规模。</w:t>
      </w:r>
    </w:p>
    <w:p w14:paraId="117857A2">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本市上表非金属矿产有水泥用石灰岩和水泥配料用粘土矿区各1处，位于市内中部的砖瓦厂和石灰窑地区，储量规模均为小型。萤石、石墨、火山渣、建筑用辉绿岩、建筑用玄武岩、建筑用安山岩等受勘查程度与储量规模等影响，均未上表。</w:t>
      </w:r>
    </w:p>
    <w:p w14:paraId="27676CC7">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本市上表水气矿产仅有1处，位于巴彦宝力格地区，资源量规模为中型，资源量为21000立方米/日。</w:t>
      </w:r>
    </w:p>
    <w:p w14:paraId="67A6BB83">
      <w:pPr>
        <w:spacing w:before="156" w:line="360" w:lineRule="auto"/>
        <w:ind w:firstLine="614" w:firstLineChars="192"/>
        <w:outlineLvl w:val="2"/>
        <w:rPr>
          <w:rStyle w:val="10"/>
          <w:rFonts w:ascii="黑体" w:hAnsi="宋体" w:eastAsia="黑体"/>
          <w:sz w:val="32"/>
          <w:szCs w:val="28"/>
        </w:rPr>
      </w:pPr>
      <w:r>
        <w:rPr>
          <w:rStyle w:val="10"/>
          <w:rFonts w:ascii="黑体" w:hAnsi="宋体" w:eastAsia="黑体"/>
          <w:sz w:val="32"/>
          <w:szCs w:val="28"/>
        </w:rPr>
        <w:t>三、矿产资源勘查现状</w:t>
      </w:r>
    </w:p>
    <w:p w14:paraId="3147EAFB">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锡林浩特市基础地质调查工作程度较高。截至2020年底，全市1:20万及1:25万区域地质调查、区域地球化学测量、区域水文地质调查及中比例尺（1:5万）区域矿产地质调查、区域地球化学测量、航空物探综合测量已实现全覆盖或基本覆盖基岩出露区；1:5万区域地质调查工作覆盖度相对较低，调查面积刚过全市面积的50%。此外，2020年在本市开展了136平方千米的浅层地温能调查，全面了解了调查区浅层地温能背景参数，并分析了浅层地温能开发利用的可行性。</w:t>
      </w:r>
    </w:p>
    <w:p w14:paraId="0FAC0BAA">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截至2020年底，全市在期探矿权有12个，勘查总面积为518.62平方千米，勘查阶段均为勘探。勘查矿种以煤炭为主，涉及9个勘查项目；其次为地下水和金矿。</w:t>
      </w:r>
    </w:p>
    <w:p w14:paraId="1C9B2D95">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四、矿产资源开发利用现状</w:t>
      </w:r>
    </w:p>
    <w:p w14:paraId="4854B229">
      <w:pPr>
        <w:spacing w:line="360" w:lineRule="auto"/>
        <w:ind w:firstLine="640" w:firstLineChars="200"/>
        <w:rPr>
          <w:rStyle w:val="10"/>
          <w:rFonts w:eastAsia="仿宋_GB2312" w:cs="Calibri"/>
          <w:bCs/>
          <w:sz w:val="32"/>
          <w:szCs w:val="28"/>
        </w:rPr>
      </w:pPr>
      <w:r>
        <w:rPr>
          <w:rStyle w:val="10"/>
          <w:rFonts w:eastAsia="仿宋_GB2312" w:cs="Calibri"/>
          <w:bCs/>
          <w:sz w:val="32"/>
          <w:szCs w:val="28"/>
        </w:rPr>
        <w:t>截至2020年底，全市共有在期非油气类采矿权13个，矿山13家，登记开采总面积为123.25平方千米，开采矿种包括煤、铬铁矿、锡矿、锗矿、普通萤石、橄榄岩、建筑用砂岩和建筑用安山岩8种。矿山按规模分，</w:t>
      </w:r>
      <w:r>
        <w:rPr>
          <w:rStyle w:val="10"/>
          <w:rFonts w:ascii="宋体" w:hAnsi="宋体" w:eastAsia="仿宋_GB2312" w:cs="Calibri"/>
          <w:bCs/>
          <w:sz w:val="32"/>
          <w:szCs w:val="32"/>
        </w:rPr>
        <w:t>大型7家，中型2家，小型4家，大中型矿山占矿山总数的69%；</w:t>
      </w:r>
      <w:r>
        <w:rPr>
          <w:rStyle w:val="10"/>
          <w:rFonts w:eastAsia="仿宋_GB2312"/>
          <w:color w:val="000000"/>
          <w:sz w:val="32"/>
          <w:szCs w:val="32"/>
        </w:rPr>
        <w:t>按开发利用状态分，</w:t>
      </w:r>
      <w:r>
        <w:rPr>
          <w:rStyle w:val="10"/>
          <w:rFonts w:ascii="宋体" w:hAnsi="宋体" w:eastAsia="仿宋_GB2312" w:cs="Calibri"/>
          <w:bCs/>
          <w:sz w:val="32"/>
          <w:szCs w:val="32"/>
        </w:rPr>
        <w:t>生产矿山6家，在建矿山2家，停产矿山5家；按开采方式分，露天开采8家，地下开采5家。全市矿山</w:t>
      </w:r>
      <w:r>
        <w:rPr>
          <w:rStyle w:val="10"/>
          <w:rFonts w:eastAsia="仿宋_GB2312" w:cs="Calibri"/>
          <w:bCs/>
          <w:sz w:val="32"/>
          <w:szCs w:val="28"/>
        </w:rPr>
        <w:t>实现矿业总产值为68.81亿元，综合利用产值为2020万元，利润总额为18.48亿元，年税金总额36.05亿元。</w:t>
      </w:r>
    </w:p>
    <w:p w14:paraId="7117B817">
      <w:pPr>
        <w:spacing w:line="360" w:lineRule="auto"/>
        <w:ind w:firstLine="640" w:firstLineChars="200"/>
        <w:rPr>
          <w:rStyle w:val="10"/>
          <w:rFonts w:eastAsia="仿宋_GB2312" w:cs="Calibri"/>
          <w:bCs/>
          <w:sz w:val="32"/>
          <w:szCs w:val="28"/>
        </w:rPr>
      </w:pPr>
      <w:r>
        <w:rPr>
          <w:rStyle w:val="10"/>
          <w:rFonts w:eastAsia="仿宋_GB2312" w:cs="Calibri"/>
          <w:bCs/>
          <w:sz w:val="32"/>
          <w:szCs w:val="28"/>
        </w:rPr>
        <w:t>煤炭矿山共5家，其中生产矿山是3家大型矿山，均为露天开采，从业人数共计2460人，原煤年产量3762.23万吨，实现矿业产值61.72亿元，占全市矿业产值的89.70%。</w:t>
      </w:r>
    </w:p>
    <w:p w14:paraId="25114A41">
      <w:pPr>
        <w:spacing w:line="360" w:lineRule="auto"/>
        <w:ind w:firstLine="640" w:firstLineChars="200"/>
        <w:rPr>
          <w:rStyle w:val="10"/>
          <w:rFonts w:eastAsia="仿宋_GB2312" w:cs="Calibri"/>
          <w:bCs/>
          <w:sz w:val="32"/>
          <w:szCs w:val="28"/>
        </w:rPr>
      </w:pPr>
      <w:r>
        <w:rPr>
          <w:rStyle w:val="10"/>
          <w:rFonts w:eastAsia="仿宋_GB2312" w:cs="Calibri"/>
          <w:bCs/>
          <w:sz w:val="32"/>
          <w:szCs w:val="28"/>
        </w:rPr>
        <w:t>金属矿山共4家，其中大型1家，中型1家，其余为小型，大中型矿山占金属矿山总数的50%。生产矿山是2家锗矿，均为露天开采，矿山规模为1个大型1个小型，年总产矿石量343.46万吨，实现矿业产值6.78亿元，占全市矿业产值的9.85%。</w:t>
      </w:r>
    </w:p>
    <w:p w14:paraId="0D9FA169">
      <w:pPr>
        <w:spacing w:line="360" w:lineRule="auto"/>
        <w:ind w:firstLine="640" w:firstLineChars="200"/>
        <w:rPr>
          <w:rStyle w:val="10"/>
          <w:rFonts w:eastAsia="仿宋_GB2312" w:cs="Calibri"/>
          <w:bCs/>
          <w:sz w:val="32"/>
          <w:szCs w:val="28"/>
        </w:rPr>
      </w:pPr>
      <w:r>
        <w:rPr>
          <w:rStyle w:val="10"/>
          <w:rFonts w:eastAsia="仿宋_GB2312" w:cs="Calibri"/>
          <w:bCs/>
          <w:sz w:val="32"/>
          <w:szCs w:val="28"/>
        </w:rPr>
        <w:t>非金属矿山共4家，其中大型2家，小型2家。仅有1家大型建筑用安山岩矿山在生产，开采方式为露天开采，从业人数20人，年产矿石量124.85万吨，实现矿业产值3069万元。</w:t>
      </w:r>
    </w:p>
    <w:p w14:paraId="208E3A4C">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第二节  上轮规划实施成效</w:t>
      </w:r>
    </w:p>
    <w:p w14:paraId="7BF7B264">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第三轮矿产资源规划实施以来，锡林浩特市紧紧围绕矿业转型升级和矿山生态环境保护与治理两大主题，逐步深化矿政管理改革，逐年落实规划任务，矿业绿色发展理念已深入人心，矿产资源开发布局结构更趋合理，开发秩序更加有序，废弃矿山治理取得成效，矿产资源开发利用与保护水平不断提高，为全市经济社会持续平稳健康发展提供了有力支撑。</w:t>
      </w:r>
    </w:p>
    <w:p w14:paraId="0345DA58">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一、矿产勘查成效明显</w:t>
      </w:r>
    </w:p>
    <w:p w14:paraId="6B2EF134">
      <w:pPr>
        <w:spacing w:line="360" w:lineRule="auto"/>
        <w:ind w:firstLine="640" w:firstLineChars="200"/>
        <w:rPr>
          <w:rStyle w:val="10"/>
          <w:rFonts w:eastAsia="仿宋_GB2312" w:cs="Calibri"/>
          <w:bCs/>
          <w:sz w:val="32"/>
          <w:szCs w:val="28"/>
        </w:rPr>
      </w:pPr>
      <w:r>
        <w:rPr>
          <w:rStyle w:val="10"/>
          <w:rFonts w:eastAsia="仿宋_GB2312"/>
          <w:sz w:val="32"/>
          <w:szCs w:val="28"/>
        </w:rPr>
        <w:t>三轮规划期间，全市</w:t>
      </w:r>
      <w:r>
        <w:rPr>
          <w:rStyle w:val="10"/>
          <w:rFonts w:eastAsia="仿宋_GB2312" w:cs="Calibri"/>
          <w:bCs/>
          <w:sz w:val="32"/>
          <w:szCs w:val="28"/>
        </w:rPr>
        <w:t>矿产资源勘查稳步推进，获得了一批新成果，新发现大中型矿产地4处，分别为巴彦宝力格煤田东区大型煤矿、乌尤特中型煤矿、石灰窑矿区大型铌钽矿和巴彦宝力格(II区)中型地下水。新增资源储量煤炭（333）118546万吨、铌金属量5150吨、钽金属量6796吨、铷金属量82020吨、地下水21000立方米/日，</w:t>
      </w:r>
      <w:r>
        <w:rPr>
          <w:rStyle w:val="10"/>
          <w:rFonts w:eastAsia="仿宋_GB2312"/>
          <w:sz w:val="32"/>
          <w:szCs w:val="32"/>
        </w:rPr>
        <w:t>为全市能源产业、新兴产业等的发展提供了资源保障。</w:t>
      </w:r>
    </w:p>
    <w:p w14:paraId="40986F65">
      <w:pPr>
        <w:spacing w:before="156"/>
        <w:ind w:firstLine="614" w:firstLineChars="192"/>
        <w:outlineLvl w:val="2"/>
        <w:rPr>
          <w:rStyle w:val="10"/>
          <w:rFonts w:ascii="黑体" w:hAnsi="宋体" w:eastAsia="黑体"/>
          <w:sz w:val="32"/>
          <w:szCs w:val="28"/>
          <w:highlight w:val="yellow"/>
        </w:rPr>
      </w:pPr>
      <w:r>
        <w:rPr>
          <w:rStyle w:val="10"/>
          <w:rFonts w:ascii="黑体" w:hAnsi="宋体" w:eastAsia="黑体"/>
          <w:sz w:val="32"/>
          <w:szCs w:val="28"/>
        </w:rPr>
        <w:t>二、矿产勘查开发布局结构更加优化</w:t>
      </w:r>
    </w:p>
    <w:p w14:paraId="5DF44245">
      <w:pPr>
        <w:spacing w:line="360" w:lineRule="auto"/>
        <w:ind w:firstLine="640" w:firstLineChars="200"/>
        <w:rPr>
          <w:rStyle w:val="10"/>
          <w:rFonts w:eastAsia="仿宋_GB2312" w:cs="Calibri"/>
          <w:bCs/>
          <w:sz w:val="32"/>
          <w:szCs w:val="28"/>
        </w:rPr>
      </w:pPr>
      <w:r>
        <w:rPr>
          <w:rStyle w:val="10"/>
          <w:rFonts w:eastAsia="仿宋_GB2312" w:cs="Calibri"/>
          <w:bCs/>
          <w:sz w:val="32"/>
          <w:szCs w:val="28"/>
        </w:rPr>
        <w:t>全市自然保护区内已有的69个采矿权、16个探矿权，军事设施附近的4个采矿权，国家级地质公园内的1个采矿权全部退出，矿业权总数缩减到2020年底的25个，缩减率达75%；新设矿业权均避开自然保护区。全市矿山规模结构不断优化，大中型矿山比例由6%提高到69%。</w:t>
      </w:r>
    </w:p>
    <w:p w14:paraId="04E4EA69">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三、矿产资源利用更加高效</w:t>
      </w:r>
    </w:p>
    <w:p w14:paraId="4C52F38E">
      <w:pPr>
        <w:spacing w:line="360" w:lineRule="auto"/>
        <w:ind w:firstLine="640" w:firstLineChars="200"/>
        <w:rPr>
          <w:rStyle w:val="10"/>
          <w:rFonts w:eastAsia="仿宋_GB2312" w:cs="Calibri"/>
          <w:bCs/>
          <w:sz w:val="32"/>
          <w:szCs w:val="28"/>
        </w:rPr>
      </w:pPr>
      <w:r>
        <w:rPr>
          <w:rStyle w:val="10"/>
          <w:rFonts w:eastAsia="仿宋_GB2312" w:cs="Calibri"/>
          <w:bCs/>
          <w:sz w:val="32"/>
          <w:szCs w:val="28"/>
        </w:rPr>
        <w:t>矿产资源综合利用水平明显提高，</w:t>
      </w:r>
      <w:r>
        <w:rPr>
          <w:rStyle w:val="10"/>
          <w:rFonts w:eastAsia="仿宋_GB2312"/>
          <w:sz w:val="32"/>
          <w:szCs w:val="32"/>
        </w:rPr>
        <w:t>煤炭清洁高效利用水平持续提升，高精度煤炭洗选加工不断发展，高性能、高可靠性、智能化、大型选煤装备研发取得新进展。</w:t>
      </w:r>
      <w:r>
        <w:rPr>
          <w:rStyle w:val="10"/>
          <w:rFonts w:eastAsia="仿宋_GB2312" w:cs="Calibri"/>
          <w:bCs/>
          <w:sz w:val="32"/>
          <w:szCs w:val="28"/>
        </w:rPr>
        <w:t>矿山“三率”水平基本达到国家“三率”指标，其中</w:t>
      </w:r>
      <w:r>
        <w:rPr>
          <w:rStyle w:val="10"/>
          <w:rFonts w:eastAsia="仿宋_GB2312"/>
          <w:sz w:val="32"/>
          <w:szCs w:val="32"/>
        </w:rPr>
        <w:t>锗矿开采回采率达98%、选矿回收率达99%、综合利用率高达100%，煤矿开采回采率达97.21-99.30%、矿坑水综合利用率可达100%。</w:t>
      </w:r>
    </w:p>
    <w:p w14:paraId="5E16BA27">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四、矿业绿色发展初见成效</w:t>
      </w:r>
    </w:p>
    <w:p w14:paraId="668F5321">
      <w:pPr>
        <w:spacing w:line="360" w:lineRule="auto"/>
        <w:ind w:firstLine="640" w:firstLineChars="200"/>
        <w:rPr>
          <w:rStyle w:val="10"/>
          <w:rFonts w:eastAsia="仿宋_GB2312" w:cs="Calibri"/>
          <w:bCs/>
          <w:sz w:val="32"/>
          <w:szCs w:val="28"/>
        </w:rPr>
      </w:pPr>
      <w:r>
        <w:rPr>
          <w:rStyle w:val="10"/>
          <w:rFonts w:eastAsia="仿宋_GB2312" w:cs="Calibri"/>
          <w:bCs/>
          <w:sz w:val="32"/>
          <w:szCs w:val="28"/>
        </w:rPr>
        <w:t>全面推进绿色矿山建设，三轮规划期间，共有4家矿山企业被纳入国家或自治区绿色矿山名录，包括煤炭矿山2家，石油矿山2家。全市将在期露天矿山地质环境治理工作作为重点，督促所有在期露天矿山按照自然资源部《绿色矿山建设规范》重新修编《矿山地质环境保护与土地复垦方案》，并要求存在地质环境历史欠账的露天矿山企业制定整改方案，确保历史欠账问题“清零”。通过开展露天矿山综合整治，推动全市露天矿山建设水平全面提升，开采回采率、选矿回收率、综合利用率和废水、废气、废渣排放指标达到国家规定标准，露天矿山扬尘得到有效抑制，生态环境得到有效保护。历史形成的废弃无主采坑治理持续发力，5年时间，总投资近1.60亿元，实现总治理面积10.34平方千米。</w:t>
      </w:r>
    </w:p>
    <w:p w14:paraId="6F1D355B">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五、矿产资源监管制度进一步完善</w:t>
      </w:r>
    </w:p>
    <w:p w14:paraId="3BFF13A0">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认真落实国家、自治区矿政管理要求，全面落实矿业权勘查开采信息公示和实地核查制度，对矿业权人履行法定义务和开发利用矿产资源进行监督管理；按年度组织实施矿山储量动态检测工作，加强了矿山储量动态管理；结合扫黑除恶专项斗争，开展严厉打击盗采砂石资源专项整治行动，有效维护砂石矿产资源开发秩序，切实保障了全市砂石市场的稳定发展。</w:t>
      </w:r>
    </w:p>
    <w:p w14:paraId="7A26A68D">
      <w:pPr>
        <w:pStyle w:val="14"/>
        <w:spacing w:before="0" w:after="0" w:line="960" w:lineRule="exact"/>
        <w:jc w:val="center"/>
        <w:outlineLvl w:val="1"/>
        <w:rPr>
          <w:rStyle w:val="10"/>
          <w:rFonts w:ascii="宋体" w:hAnsi="宋体" w:eastAsia="仿宋_GB2312"/>
        </w:rPr>
      </w:pPr>
      <w:r>
        <w:rPr>
          <w:rStyle w:val="10"/>
          <w:rFonts w:ascii="宋体" w:hAnsi="宋体" w:eastAsia="仿宋_GB2312"/>
        </w:rPr>
        <w:t>第三节  形势与要求</w:t>
      </w:r>
    </w:p>
    <w:p w14:paraId="7FD28A96">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当今世界正经历新冠疫情叠加的百年未有之大变局，国内外发展环境面临深刻复杂变化，但我国经济稳中向好、长期向好的基本面没有改变。“十四五”时期是国家乘势而上开启全面建设社会主义现代化国家新征程、向第二个百年奋斗目标进军的第一个五年，是自治区坚定不移走以生态优先绿色发展为导向的高质量发展新路子、重塑空间格局的关键时期，也是锡林浩特市加快转型升级、实现高质量发展的关键时期，这一时期锡林浩特市的矿业发展必将面临新的机遇和挑战。</w:t>
      </w:r>
    </w:p>
    <w:p w14:paraId="7BC9BE2F">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一、生态文明建设深入推进，要求矿业转型升级、绿色发展</w:t>
      </w:r>
    </w:p>
    <w:p w14:paraId="7B79FEBD">
      <w:pPr>
        <w:spacing w:line="360" w:lineRule="auto"/>
        <w:ind w:firstLine="640" w:firstLineChars="200"/>
        <w:rPr>
          <w:rStyle w:val="10"/>
          <w:rFonts w:eastAsia="仿宋_GB2312" w:cs="Calibri"/>
          <w:bCs/>
          <w:sz w:val="32"/>
          <w:szCs w:val="28"/>
        </w:rPr>
      </w:pPr>
      <w:r>
        <w:rPr>
          <w:rStyle w:val="10"/>
          <w:rFonts w:eastAsia="仿宋_GB2312" w:cs="Calibri"/>
          <w:bCs/>
          <w:sz w:val="32"/>
          <w:szCs w:val="28"/>
        </w:rPr>
        <w:t>党的十九大将生态文明历史性地写入宪法，国家把自治区定位为我国北方重要生态安全屏障，以及锡林浩特市将自身定位为</w:t>
      </w:r>
      <w:r>
        <w:rPr>
          <w:rStyle w:val="10"/>
          <w:rFonts w:hAnsi="宋体" w:eastAsia="仿宋_GB2312" w:cs="Calibri"/>
          <w:bCs/>
          <w:sz w:val="32"/>
          <w:szCs w:val="28"/>
        </w:rPr>
        <w:t>国家清洁能源转化基地、国家级全域旅游示范区等，均</w:t>
      </w:r>
      <w:r>
        <w:rPr>
          <w:rStyle w:val="10"/>
          <w:rFonts w:eastAsia="仿宋_GB2312" w:cs="Calibri"/>
          <w:bCs/>
          <w:sz w:val="32"/>
          <w:szCs w:val="28"/>
        </w:rPr>
        <w:t>对矿业发展提出了新的更高要求，推动矿业转型发展、绿色发展势在必行</w:t>
      </w:r>
      <w:r>
        <w:rPr>
          <w:rStyle w:val="10"/>
          <w:rFonts w:hAnsi="宋体" w:eastAsia="仿宋_GB2312" w:cs="Calibri"/>
          <w:bCs/>
          <w:sz w:val="32"/>
          <w:szCs w:val="28"/>
        </w:rPr>
        <w:t>，</w:t>
      </w:r>
      <w:r>
        <w:rPr>
          <w:rStyle w:val="10"/>
          <w:rFonts w:eastAsia="仿宋_GB2312" w:cs="Calibri"/>
          <w:bCs/>
          <w:sz w:val="32"/>
          <w:szCs w:val="28"/>
        </w:rPr>
        <w:t>今后的矿产资源管理和矿业发展中必须将生态环境保护放在更加突出的位置，</w:t>
      </w:r>
      <w:r>
        <w:rPr>
          <w:rStyle w:val="10"/>
          <w:rFonts w:hAnsi="宋体" w:eastAsia="仿宋_GB2312" w:cs="Calibri"/>
          <w:bCs/>
          <w:sz w:val="32"/>
          <w:szCs w:val="28"/>
        </w:rPr>
        <w:t>必须加强开发利用监督，大力推进绿色矿山建设，推动矿山企业转型升级，提高资源利用效率，从源头上减少碳排放。</w:t>
      </w:r>
    </w:p>
    <w:p w14:paraId="5DF7594C">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二、保障国家能源资源安全，要求加强矿产资源勘查、保护和合理开发</w:t>
      </w:r>
    </w:p>
    <w:p w14:paraId="738F1882">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近年来，随着矿产资源安全问题日益成为世界各国普遍关注的焦点，矿产资源安全已成为国家经济安全的核心。从我国经济发展阶段、能源资源禀赋特点以及煤炭资源的可靠性、利用的可洁净性来看，在未来相当长时期内，煤炭仍将是我国能源安全稳定供应的压舱石。而煤炭作为锡林浩特市的优势矿产，</w:t>
      </w:r>
      <w:r>
        <w:rPr>
          <w:rStyle w:val="10"/>
          <w:rFonts w:ascii="仿宋_GB2312" w:eastAsia="仿宋_GB2312"/>
          <w:color w:val="000000"/>
          <w:sz w:val="32"/>
          <w:szCs w:val="32"/>
        </w:rPr>
        <w:t>产业发展层次仍然较低，资源保护力度有待加强，需要配合国家、自治区做好矿产资源保护区的建设，提升保障能力。</w:t>
      </w:r>
    </w:p>
    <w:p w14:paraId="4668B1EB">
      <w:pPr>
        <w:spacing w:before="156"/>
        <w:ind w:firstLine="614" w:firstLineChars="192"/>
        <w:outlineLvl w:val="2"/>
        <w:rPr>
          <w:rStyle w:val="10"/>
          <w:rFonts w:ascii="黑体" w:hAnsi="宋体" w:eastAsia="黑体"/>
          <w:sz w:val="32"/>
          <w:szCs w:val="28"/>
          <w:highlight w:val="yellow"/>
        </w:rPr>
      </w:pPr>
      <w:r>
        <w:rPr>
          <w:rStyle w:val="10"/>
          <w:rFonts w:ascii="黑体" w:hAnsi="宋体" w:eastAsia="黑体"/>
          <w:sz w:val="32"/>
          <w:szCs w:val="28"/>
        </w:rPr>
        <w:t>三、自治区走高质量发展之路，要求不断优化矿业结构、高效利用资源</w:t>
      </w:r>
    </w:p>
    <w:p w14:paraId="65953A1D">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走以生态优先、绿色发展为导向的高质量发展新路子，是习近平总书记和党中央为新时代内蒙古发展确定的行动纲领，这就要求锡林浩特市的矿业也必须走高质量发展之路。</w:t>
      </w:r>
      <w:r>
        <w:rPr>
          <w:rStyle w:val="10"/>
          <w:rFonts w:ascii="仿宋_GB2312" w:eastAsia="仿宋_GB2312"/>
          <w:sz w:val="32"/>
          <w:szCs w:val="32"/>
        </w:rPr>
        <w:t>全市煤炭、锗等矿产资源丰富，具有资源优势，且能源资源开发具备一定的规模和基础，在新形势下必将迎来发展的机遇期。</w:t>
      </w:r>
      <w:r>
        <w:rPr>
          <w:rStyle w:val="10"/>
          <w:rFonts w:hAnsi="宋体" w:eastAsia="仿宋_GB2312" w:cs="Calibri"/>
          <w:bCs/>
          <w:sz w:val="32"/>
          <w:szCs w:val="28"/>
        </w:rPr>
        <w:t>目前，全市停产矿山较多，煤炭停留在初步加工与利用阶段，资源型工业仍占主导到位，资源利用效率偏低，急需加快矿业开发结构转型升级。“十四五”时期，需加速规范现有矿山企业，推动煤矿智能化建设，全面提高资源利用效率，进一步优化矿业开发布局，努力构建科技含量高、资源消耗低、环境污染小的矿业发展新模式。</w:t>
      </w:r>
    </w:p>
    <w:p w14:paraId="32ACC7F8">
      <w:pPr>
        <w:spacing w:before="156"/>
        <w:ind w:firstLine="614" w:firstLineChars="192"/>
        <w:outlineLvl w:val="2"/>
        <w:rPr>
          <w:rStyle w:val="10"/>
          <w:rFonts w:ascii="黑体" w:hAnsi="宋体" w:eastAsia="黑体"/>
          <w:sz w:val="32"/>
          <w:szCs w:val="28"/>
          <w:highlight w:val="yellow"/>
        </w:rPr>
      </w:pPr>
      <w:r>
        <w:rPr>
          <w:rStyle w:val="10"/>
          <w:rFonts w:ascii="黑体" w:hAnsi="宋体" w:eastAsia="黑体"/>
          <w:sz w:val="32"/>
          <w:szCs w:val="28"/>
        </w:rPr>
        <w:t>四、深化矿产资源管理改革，要求不断完善矿产资源管理体制机制</w:t>
      </w:r>
    </w:p>
    <w:p w14:paraId="45D1C9A6">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随着“放管服”改革全面优化营商环境持续深化，要求进一步规范和加强矿产资源勘查开采监督管理，促进矿产资源勘查开采秩序持续好转，助推矿产资源领域治理能力现代化。国家和自治区矿产资源管理改革要求推进“净矿”出让，锡林浩特市承接了本市普通建筑用砂石土采矿权审批权限，有责任先行先试，探索开展建筑用砂石土的“净矿”出让，建立健全相关体制机制，促进矿产资源资产价值实现，保障矿业权人的合法权益，促进矿业可持续发展。</w:t>
      </w:r>
    </w:p>
    <w:p w14:paraId="4D564DA8">
      <w:pPr>
        <w:spacing w:line="360" w:lineRule="auto"/>
        <w:ind w:firstLine="640" w:firstLineChars="200"/>
        <w:rPr>
          <w:rStyle w:val="10"/>
          <w:rFonts w:hAnsi="宋体" w:eastAsia="仿宋_GB2312" w:cs="Calibri"/>
          <w:bCs/>
          <w:sz w:val="32"/>
          <w:szCs w:val="28"/>
          <w:highlight w:val="yellow"/>
        </w:rPr>
      </w:pPr>
    </w:p>
    <w:p w14:paraId="2DDD4E1D">
      <w:pPr>
        <w:spacing w:line="360" w:lineRule="auto"/>
        <w:rPr>
          <w:rStyle w:val="10"/>
          <w:rFonts w:ascii="宋体" w:hAnsi="宋体" w:eastAsia="仿宋_GB2312"/>
          <w:b/>
          <w:sz w:val="32"/>
          <w:szCs w:val="28"/>
        </w:rPr>
        <w:sectPr>
          <w:footerReference r:id="rId5" w:type="default"/>
          <w:pgSz w:w="11906" w:h="16838"/>
          <w:pgMar w:top="1440" w:right="1800" w:bottom="1440" w:left="1800" w:header="851" w:footer="992" w:gutter="0"/>
          <w:pgNumType w:start="1"/>
          <w:cols w:space="425" w:num="1"/>
          <w:docGrid w:type="lines" w:linePitch="312" w:charSpace="0"/>
        </w:sectPr>
      </w:pPr>
    </w:p>
    <w:p w14:paraId="47E3BF92">
      <w:pPr>
        <w:spacing w:before="312" w:beforeAutospacing="1" w:after="312" w:afterAutospacing="1" w:line="1280" w:lineRule="exact"/>
        <w:jc w:val="center"/>
        <w:outlineLvl w:val="0"/>
        <w:rPr>
          <w:rStyle w:val="10"/>
          <w:rFonts w:ascii="黑体" w:hAnsi="仿宋_GB2312" w:eastAsia="黑体"/>
          <w:sz w:val="32"/>
          <w:szCs w:val="32"/>
        </w:rPr>
      </w:pPr>
      <w:r>
        <w:rPr>
          <w:rStyle w:val="10"/>
          <w:rFonts w:ascii="黑体" w:hAnsi="仿宋_GB2312" w:eastAsia="黑体"/>
          <w:sz w:val="32"/>
          <w:szCs w:val="32"/>
        </w:rPr>
        <w:t>第二章  指导思想、基本原则与规划目标</w:t>
      </w:r>
    </w:p>
    <w:p w14:paraId="1A8D631D">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指导思想</w:t>
      </w:r>
    </w:p>
    <w:p w14:paraId="28C2F823">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以习近平新时代中国特色社会主义思想为指导，全面贯彻党的十九大和十九届历次全会精神，深入贯彻习近平生态文明思想和习近平总书记考察内蒙古</w:t>
      </w:r>
      <w:bookmarkStart w:id="0" w:name="_GoBack"/>
      <w:bookmarkEnd w:id="0"/>
      <w:r>
        <w:rPr>
          <w:rStyle w:val="10"/>
          <w:rFonts w:hint="eastAsia" w:ascii="宋体" w:hAnsi="宋体" w:eastAsia="仿宋_GB2312"/>
          <w:sz w:val="32"/>
          <w:szCs w:val="28"/>
          <w:lang w:eastAsia="zh-CN"/>
        </w:rPr>
        <w:t>重要讲话和重要指示批示精神</w:t>
      </w:r>
      <w:r>
        <w:rPr>
          <w:rStyle w:val="10"/>
          <w:rFonts w:ascii="宋体" w:hAnsi="宋体" w:eastAsia="仿宋_GB2312"/>
          <w:sz w:val="32"/>
          <w:szCs w:val="28"/>
        </w:rPr>
        <w:t>，全面落实自治区第十一次党代会精神，认真落实锡林郭勒盟委、行署重大决策部署，立足新发展阶段，贯彻新发展理念，服务融入新发展格局，以矿产资源安全保障为目标，以矿业绿色发展为统领，以服务民生发展为重点，</w:t>
      </w:r>
      <w:r>
        <w:rPr>
          <w:rStyle w:val="10"/>
          <w:rFonts w:eastAsia="仿宋_GB2312"/>
          <w:color w:val="000000"/>
          <w:sz w:val="32"/>
          <w:szCs w:val="32"/>
        </w:rPr>
        <w:t>统筹好环境保护与资源开发强度，</w:t>
      </w:r>
      <w:r>
        <w:rPr>
          <w:rStyle w:val="10"/>
          <w:rFonts w:ascii="仿宋_GB2312" w:eastAsia="仿宋_GB2312"/>
          <w:color w:val="000000"/>
          <w:sz w:val="32"/>
          <w:szCs w:val="32"/>
        </w:rPr>
        <w:t>严格控制矿山数量，提高资源利用效率，全面推进绿色矿山建设，加强矿山地质环境治理，</w:t>
      </w:r>
      <w:r>
        <w:rPr>
          <w:rStyle w:val="10"/>
          <w:rFonts w:ascii="宋体" w:hAnsi="宋体" w:eastAsia="仿宋_GB2312"/>
          <w:sz w:val="32"/>
          <w:szCs w:val="28"/>
        </w:rPr>
        <w:t>促进全市矿业转型高质量发展。</w:t>
      </w:r>
    </w:p>
    <w:p w14:paraId="140AF887">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第二节  基本原则</w:t>
      </w:r>
    </w:p>
    <w:p w14:paraId="0AD851D6">
      <w:pPr>
        <w:keepLines/>
        <w:spacing w:after="156" w:line="640" w:lineRule="exact"/>
        <w:ind w:firstLine="640" w:firstLineChars="200"/>
        <w:outlineLvl w:val="2"/>
        <w:rPr>
          <w:rStyle w:val="10"/>
          <w:rFonts w:ascii="黑体" w:hAnsi="宋体" w:eastAsia="黑体"/>
          <w:b/>
          <w:kern w:val="0"/>
          <w:sz w:val="32"/>
          <w:szCs w:val="28"/>
        </w:rPr>
      </w:pPr>
      <w:r>
        <w:rPr>
          <w:rStyle w:val="10"/>
          <w:rFonts w:ascii="黑体" w:eastAsia="黑体" w:cs="Calibri"/>
          <w:bCs/>
          <w:kern w:val="0"/>
          <w:sz w:val="32"/>
          <w:szCs w:val="28"/>
        </w:rPr>
        <w:t>一、</w:t>
      </w:r>
      <w:r>
        <w:rPr>
          <w:rStyle w:val="10"/>
          <w:rFonts w:ascii="黑体" w:hAnsi="宋体" w:eastAsia="黑体" w:cs="Calibri"/>
          <w:bCs/>
          <w:kern w:val="0"/>
          <w:sz w:val="32"/>
          <w:szCs w:val="28"/>
        </w:rPr>
        <w:t>坚持</w:t>
      </w:r>
      <w:r>
        <w:rPr>
          <w:rStyle w:val="10"/>
          <w:rFonts w:ascii="黑体" w:eastAsia="黑体" w:cs="Calibri"/>
          <w:bCs/>
          <w:kern w:val="0"/>
          <w:sz w:val="32"/>
          <w:szCs w:val="28"/>
        </w:rPr>
        <w:t>生态</w:t>
      </w:r>
      <w:r>
        <w:rPr>
          <w:rStyle w:val="10"/>
          <w:rFonts w:ascii="黑体" w:hAnsi="宋体" w:eastAsia="黑体" w:cs="Calibri"/>
          <w:bCs/>
          <w:kern w:val="0"/>
          <w:sz w:val="32"/>
          <w:szCs w:val="28"/>
        </w:rPr>
        <w:t>优先，绿色发展</w:t>
      </w:r>
    </w:p>
    <w:p w14:paraId="012E6332">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牢牢把握我国北方重要生态安全屏障定位，</w:t>
      </w:r>
      <w:r>
        <w:rPr>
          <w:rStyle w:val="10"/>
          <w:rFonts w:ascii="仿宋_GB2312" w:eastAsia="仿宋_GB2312"/>
          <w:color w:val="000000"/>
          <w:kern w:val="0"/>
          <w:sz w:val="32"/>
          <w:szCs w:val="32"/>
        </w:rPr>
        <w:t>严格落实国土空间管控要求，做好与生态保护红线、</w:t>
      </w:r>
      <w:r>
        <w:rPr>
          <w:rStyle w:val="10"/>
          <w:rFonts w:ascii="仿宋_GB2312" w:eastAsia="仿宋_GB2312"/>
          <w:color w:val="000000"/>
          <w:sz w:val="32"/>
          <w:szCs w:val="32"/>
        </w:rPr>
        <w:t>水资源红线</w:t>
      </w:r>
      <w:r>
        <w:rPr>
          <w:rStyle w:val="10"/>
          <w:rFonts w:ascii="仿宋_GB2312" w:eastAsia="仿宋_GB2312"/>
          <w:color w:val="000000"/>
          <w:kern w:val="0"/>
          <w:sz w:val="32"/>
          <w:szCs w:val="32"/>
        </w:rPr>
        <w:t>和自然保护地、永久基本农田的衔接。</w:t>
      </w:r>
      <w:r>
        <w:rPr>
          <w:rStyle w:val="10"/>
          <w:rFonts w:hAnsi="宋体" w:eastAsia="仿宋_GB2312" w:cs="Calibri"/>
          <w:bCs/>
          <w:sz w:val="32"/>
          <w:szCs w:val="28"/>
        </w:rPr>
        <w:t>树立矿业绿色发展理念，构建绿色开发格局，发展绿色矿业、建设绿色矿山，强化矿山地质环境治理。</w:t>
      </w:r>
    </w:p>
    <w:p w14:paraId="035CBDFF">
      <w:pPr>
        <w:keepLines/>
        <w:spacing w:after="156" w:line="640" w:lineRule="exact"/>
        <w:ind w:firstLine="640" w:firstLineChars="200"/>
        <w:outlineLvl w:val="2"/>
        <w:rPr>
          <w:rStyle w:val="10"/>
          <w:rFonts w:ascii="黑体" w:hAnsi="宋体" w:eastAsia="黑体" w:cs="Calibri"/>
          <w:bCs/>
          <w:kern w:val="0"/>
          <w:sz w:val="32"/>
          <w:szCs w:val="28"/>
        </w:rPr>
      </w:pPr>
      <w:r>
        <w:rPr>
          <w:rStyle w:val="10"/>
          <w:rFonts w:hint="eastAsia" w:ascii="黑体" w:eastAsia="黑体" w:cs="Calibri"/>
          <w:bCs/>
          <w:kern w:val="0"/>
          <w:sz w:val="32"/>
          <w:szCs w:val="28"/>
        </w:rPr>
        <w:t>二</w:t>
      </w:r>
      <w:r>
        <w:rPr>
          <w:rStyle w:val="10"/>
          <w:rFonts w:ascii="黑体" w:eastAsia="黑体" w:cs="Calibri"/>
          <w:bCs/>
          <w:kern w:val="0"/>
          <w:sz w:val="32"/>
          <w:szCs w:val="28"/>
        </w:rPr>
        <w:t>、</w:t>
      </w:r>
      <w:r>
        <w:rPr>
          <w:rStyle w:val="10"/>
          <w:rFonts w:ascii="黑体" w:hAnsi="宋体" w:eastAsia="黑体" w:cs="Calibri"/>
          <w:bCs/>
          <w:kern w:val="0"/>
          <w:sz w:val="32"/>
          <w:szCs w:val="28"/>
        </w:rPr>
        <w:t>坚持需求导向，重点保障</w:t>
      </w:r>
    </w:p>
    <w:p w14:paraId="16D0C273">
      <w:pPr>
        <w:spacing w:line="360" w:lineRule="auto"/>
        <w:ind w:firstLine="640" w:firstLineChars="200"/>
      </w:pPr>
      <w:r>
        <w:rPr>
          <w:rStyle w:val="10"/>
          <w:rFonts w:hAnsi="宋体" w:eastAsia="仿宋_GB2312" w:cs="Calibri"/>
          <w:bCs/>
          <w:sz w:val="32"/>
          <w:szCs w:val="28"/>
        </w:rPr>
        <w:t>依托能源资源基地、国家规划矿区，提升矿产资源高质量供给水平，保障国家能源安全稳定供应。立足资源服务社会发展和改善民生，统筹资源禀赋、运输半径、生态制约等因素，科学合理规划建筑用砂石开采区块，增强矿产资源的有效供给。</w:t>
      </w:r>
    </w:p>
    <w:p w14:paraId="323715D6">
      <w:pPr>
        <w:keepLines/>
        <w:spacing w:after="156" w:line="640" w:lineRule="exact"/>
        <w:ind w:firstLine="640" w:firstLineChars="200"/>
        <w:outlineLvl w:val="2"/>
        <w:rPr>
          <w:rStyle w:val="10"/>
          <w:rFonts w:ascii="黑体" w:hAnsi="宋体" w:eastAsia="黑体"/>
          <w:b/>
          <w:kern w:val="0"/>
          <w:sz w:val="32"/>
          <w:szCs w:val="28"/>
        </w:rPr>
      </w:pPr>
      <w:r>
        <w:rPr>
          <w:rStyle w:val="10"/>
          <w:rFonts w:hint="eastAsia" w:ascii="黑体" w:eastAsia="黑体" w:cs="Calibri"/>
          <w:bCs/>
          <w:kern w:val="0"/>
          <w:sz w:val="32"/>
          <w:szCs w:val="28"/>
        </w:rPr>
        <w:t>三</w:t>
      </w:r>
      <w:r>
        <w:rPr>
          <w:rStyle w:val="10"/>
          <w:rFonts w:ascii="黑体" w:eastAsia="黑体" w:cs="Calibri"/>
          <w:bCs/>
          <w:kern w:val="0"/>
          <w:sz w:val="32"/>
          <w:szCs w:val="28"/>
        </w:rPr>
        <w:t>、</w:t>
      </w:r>
      <w:r>
        <w:rPr>
          <w:rStyle w:val="10"/>
          <w:rFonts w:ascii="黑体" w:hAnsi="宋体" w:eastAsia="黑体" w:cs="Calibri"/>
          <w:bCs/>
          <w:kern w:val="0"/>
          <w:sz w:val="32"/>
          <w:szCs w:val="28"/>
        </w:rPr>
        <w:t>坚持优化结构，高效利用</w:t>
      </w:r>
    </w:p>
    <w:p w14:paraId="72260CB7">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合理调控矿产资源开发强度，提高矿产资源开采准入条件和开发利用水平，优化调整矿产资源开发利用结构，强化资源开发利用全过程管理，健全资源节约与综合利用制度，提高资源就地转化率，推动矿产资源集约与高效利用。</w:t>
      </w:r>
    </w:p>
    <w:p w14:paraId="7270B20B">
      <w:pPr>
        <w:keepLines/>
        <w:spacing w:after="156" w:line="640" w:lineRule="exact"/>
        <w:ind w:firstLine="640" w:firstLineChars="200"/>
        <w:outlineLvl w:val="2"/>
        <w:rPr>
          <w:rStyle w:val="10"/>
          <w:rFonts w:ascii="黑体" w:hAnsi="宋体" w:eastAsia="黑体" w:cs="Calibri"/>
          <w:bCs/>
          <w:kern w:val="0"/>
          <w:sz w:val="32"/>
          <w:szCs w:val="28"/>
        </w:rPr>
      </w:pPr>
      <w:r>
        <w:rPr>
          <w:rStyle w:val="10"/>
          <w:rFonts w:ascii="黑体" w:eastAsia="黑体" w:cs="Calibri"/>
          <w:bCs/>
          <w:kern w:val="0"/>
          <w:sz w:val="32"/>
          <w:szCs w:val="28"/>
        </w:rPr>
        <w:t>四、坚持强化监管，规范发展</w:t>
      </w:r>
    </w:p>
    <w:p w14:paraId="5248B79F">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持续深化“放管服”改革，改进监管思路，创新监管方式，进一步规范和加强矿产资源勘查开采监督管理，强化事中事后监管，促进矿产资源勘查开采秩序持续好转，助推矿产资源领域治理能力现代化。</w:t>
      </w:r>
    </w:p>
    <w:p w14:paraId="2AF0DC17">
      <w:pPr>
        <w:spacing w:line="360" w:lineRule="auto"/>
        <w:ind w:firstLine="640" w:firstLineChars="200"/>
        <w:rPr>
          <w:rStyle w:val="10"/>
          <w:rFonts w:hAnsi="宋体" w:eastAsia="仿宋_GB2312" w:cs="Calibri"/>
          <w:bCs/>
          <w:sz w:val="32"/>
          <w:szCs w:val="28"/>
        </w:rPr>
      </w:pPr>
    </w:p>
    <w:p w14:paraId="762094B6">
      <w:pPr>
        <w:spacing w:line="360" w:lineRule="auto"/>
        <w:ind w:firstLine="640" w:firstLineChars="200"/>
        <w:rPr>
          <w:rStyle w:val="10"/>
          <w:rFonts w:hAnsi="宋体" w:eastAsia="仿宋_GB2312" w:cs="Calibri"/>
          <w:bCs/>
          <w:sz w:val="32"/>
          <w:szCs w:val="28"/>
        </w:rPr>
      </w:pPr>
    </w:p>
    <w:p w14:paraId="31EEDDCD">
      <w:pPr>
        <w:pStyle w:val="14"/>
        <w:spacing w:before="312" w:beforeAutospacing="1" w:after="312" w:afterAutospacing="1" w:line="900" w:lineRule="exact"/>
        <w:jc w:val="center"/>
        <w:outlineLvl w:val="1"/>
        <w:rPr>
          <w:rStyle w:val="10"/>
          <w:rFonts w:ascii="宋体" w:hAnsi="宋体" w:eastAsia="仿宋_GB2312"/>
        </w:rPr>
      </w:pPr>
      <w:r>
        <w:rPr>
          <w:rStyle w:val="10"/>
          <w:rFonts w:ascii="宋体" w:hAnsi="宋体" w:eastAsia="仿宋_GB2312"/>
        </w:rPr>
        <w:t>第三节  规划目标</w:t>
      </w:r>
    </w:p>
    <w:p w14:paraId="55EBE652">
      <w:pPr>
        <w:keepLines/>
        <w:spacing w:after="15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一、2025年目标</w:t>
      </w:r>
    </w:p>
    <w:p w14:paraId="19D3628D">
      <w:pPr>
        <w:pStyle w:val="25"/>
        <w:spacing w:line="360" w:lineRule="auto"/>
        <w:ind w:firstLine="614" w:firstLineChars="192"/>
        <w:rPr>
          <w:rStyle w:val="10"/>
          <w:rFonts w:hAnsi="宋体" w:eastAsia="仿宋_GB2312"/>
          <w:color w:val="000000"/>
          <w:sz w:val="32"/>
          <w:szCs w:val="28"/>
        </w:rPr>
      </w:pPr>
      <w:r>
        <w:rPr>
          <w:rStyle w:val="10"/>
          <w:rFonts w:eastAsia="仿宋_GB2312"/>
          <w:color w:val="000000"/>
          <w:sz w:val="32"/>
          <w:szCs w:val="28"/>
        </w:rPr>
        <w:t>到2025年，全市勘查开发空间布局更趋合理，资源供应更加稳定，</w:t>
      </w:r>
      <w:r>
        <w:rPr>
          <w:rStyle w:val="10"/>
          <w:rFonts w:hAnsi="宋体" w:eastAsia="仿宋_GB2312"/>
          <w:color w:val="000000"/>
          <w:sz w:val="32"/>
          <w:szCs w:val="28"/>
        </w:rPr>
        <w:t>呈现矿产资源勘查开发与环境保护协调发展新格局。</w:t>
      </w:r>
    </w:p>
    <w:p w14:paraId="7EEC336B">
      <w:pPr>
        <w:pStyle w:val="25"/>
        <w:spacing w:line="360" w:lineRule="auto"/>
        <w:ind w:firstLine="617" w:firstLineChars="192"/>
        <w:rPr>
          <w:rStyle w:val="10"/>
          <w:rFonts w:ascii="仿宋_GB2312" w:eastAsia="仿宋_GB2312"/>
          <w:color w:val="000000"/>
          <w:sz w:val="32"/>
          <w:szCs w:val="32"/>
        </w:rPr>
      </w:pPr>
      <w:r>
        <w:rPr>
          <w:rStyle w:val="10"/>
          <w:rFonts w:eastAsia="仿宋_GB2312"/>
          <w:b/>
          <w:color w:val="000000"/>
          <w:sz w:val="32"/>
        </w:rPr>
        <w:t>矿产资源开发利用布局更加优化。</w:t>
      </w:r>
      <w:r>
        <w:rPr>
          <w:rStyle w:val="10"/>
          <w:rFonts w:ascii="仿宋_GB2312" w:eastAsia="仿宋_GB2312"/>
          <w:color w:val="000000"/>
          <w:sz w:val="32"/>
          <w:szCs w:val="32"/>
        </w:rPr>
        <w:t>落实上级规划划定的矿产资源保护区和建筑用砂石土集中开采区，各类分区对矿产资源勘查开发行为的引导集聚作用更加明显。</w:t>
      </w:r>
    </w:p>
    <w:p w14:paraId="042672D0">
      <w:pPr>
        <w:pStyle w:val="25"/>
        <w:spacing w:line="360" w:lineRule="auto"/>
        <w:ind w:firstLine="617" w:firstLineChars="192"/>
        <w:rPr>
          <w:rStyle w:val="10"/>
          <w:rFonts w:eastAsia="仿宋_GB2312"/>
          <w:color w:val="000000"/>
          <w:sz w:val="32"/>
        </w:rPr>
      </w:pPr>
      <w:r>
        <w:rPr>
          <w:rStyle w:val="10"/>
          <w:rFonts w:eastAsia="仿宋_GB2312"/>
          <w:b/>
          <w:color w:val="000000"/>
          <w:sz w:val="32"/>
        </w:rPr>
        <w:t>矿产资源开发利用水平进一步提高。</w:t>
      </w:r>
      <w:r>
        <w:rPr>
          <w:rStyle w:val="10"/>
          <w:rFonts w:eastAsia="仿宋_GB2312"/>
          <w:color w:val="000000"/>
          <w:sz w:val="32"/>
        </w:rPr>
        <w:t>矿产资源开采规模化、集约化程度进一步提高，在期非油气类矿山总数控制在16个以内，大中型矿山比例保持在70%以上，新建普通建筑用砂石土矿山最低开采规模达中型以上，矿山“三率”水平达到国家标准。</w:t>
      </w:r>
    </w:p>
    <w:p w14:paraId="4185D700">
      <w:pPr>
        <w:pStyle w:val="25"/>
        <w:spacing w:line="360" w:lineRule="auto"/>
        <w:ind w:firstLine="617" w:firstLineChars="192"/>
        <w:rPr>
          <w:rStyle w:val="10"/>
          <w:rFonts w:hAnsi="宋体" w:eastAsia="仿宋_GB2312"/>
          <w:color w:val="000000"/>
          <w:sz w:val="32"/>
          <w:szCs w:val="28"/>
        </w:rPr>
      </w:pPr>
      <w:r>
        <w:rPr>
          <w:rStyle w:val="10"/>
          <w:rFonts w:hAnsi="宋体" w:eastAsia="仿宋_GB2312"/>
          <w:b/>
          <w:color w:val="000000"/>
          <w:sz w:val="32"/>
          <w:szCs w:val="28"/>
        </w:rPr>
        <w:t>矿业绿色发展再上新台阶。</w:t>
      </w:r>
      <w:r>
        <w:rPr>
          <w:rStyle w:val="10"/>
          <w:rFonts w:hAnsi="宋体" w:eastAsia="仿宋_GB2312"/>
          <w:color w:val="000000"/>
          <w:sz w:val="32"/>
          <w:szCs w:val="28"/>
        </w:rPr>
        <w:t>矿业绿色发展长效机制基本建立，新建矿山和在期生产矿山均按绿色矿山建设要求建设，力争在规划期内建成6个绿色矿山。</w:t>
      </w:r>
      <w:r>
        <w:rPr>
          <w:rStyle w:val="10"/>
          <w:rFonts w:eastAsia="仿宋_GB2312"/>
          <w:color w:val="000000"/>
          <w:sz w:val="32"/>
          <w:szCs w:val="28"/>
        </w:rPr>
        <w:t>矿</w:t>
      </w:r>
      <w:r>
        <w:rPr>
          <w:rStyle w:val="10"/>
          <w:rFonts w:hAnsi="宋体" w:eastAsia="仿宋_GB2312"/>
          <w:color w:val="000000"/>
          <w:sz w:val="32"/>
          <w:szCs w:val="28"/>
        </w:rPr>
        <w:t>山“边开采、边治理”要求全面落实，生产矿山应治尽治率达100%，矿山生态环境明显好转。</w:t>
      </w:r>
    </w:p>
    <w:p w14:paraId="656596B7">
      <w:pPr>
        <w:ind w:firstLine="643"/>
        <w:rPr>
          <w:rStyle w:val="10"/>
          <w:rFonts w:ascii="仿宋_GB2312" w:eastAsia="仿宋_GB2312"/>
          <w:color w:val="000000"/>
          <w:sz w:val="32"/>
          <w:szCs w:val="32"/>
        </w:rPr>
      </w:pPr>
      <w:r>
        <w:rPr>
          <w:rStyle w:val="10"/>
          <w:rFonts w:ascii="仿宋_GB2312" w:eastAsia="仿宋_GB2312"/>
          <w:b/>
          <w:color w:val="000000"/>
          <w:sz w:val="32"/>
          <w:szCs w:val="32"/>
        </w:rPr>
        <w:t>矿产资源管理改革持续推进。</w:t>
      </w:r>
      <w:r>
        <w:rPr>
          <w:rStyle w:val="10"/>
          <w:rFonts w:ascii="仿宋_GB2312" w:eastAsia="仿宋_GB2312"/>
          <w:sz w:val="32"/>
          <w:szCs w:val="32"/>
        </w:rPr>
        <w:t>持续推进依法管矿和依法行政，进一步规范矿产资源勘查开采监督管理，强化事中事后监管。</w:t>
      </w:r>
      <w:r>
        <w:rPr>
          <w:rStyle w:val="10"/>
          <w:rFonts w:ascii="仿宋_GB2312" w:eastAsia="仿宋_GB2312"/>
          <w:color w:val="000000"/>
          <w:sz w:val="32"/>
          <w:szCs w:val="32"/>
        </w:rPr>
        <w:t>全面推进矿业权竞争性出让，积极探索建筑用砂石土“净矿”出让，</w:t>
      </w:r>
      <w:r>
        <w:rPr>
          <w:rStyle w:val="10"/>
          <w:rFonts w:ascii="仿宋_GB2312" w:eastAsia="仿宋_GB2312"/>
          <w:sz w:val="32"/>
          <w:szCs w:val="32"/>
        </w:rPr>
        <w:t>有序开展矿业权人勘查开采信息公示</w:t>
      </w:r>
      <w:r>
        <w:rPr>
          <w:rStyle w:val="10"/>
          <w:rFonts w:ascii="仿宋_GB2312" w:eastAsia="仿宋_GB2312"/>
          <w:color w:val="000000"/>
          <w:sz w:val="32"/>
          <w:szCs w:val="32"/>
        </w:rPr>
        <w:t>，</w:t>
      </w:r>
      <w:r>
        <w:rPr>
          <w:rStyle w:val="10"/>
          <w:rFonts w:ascii="仿宋_GB2312" w:eastAsia="仿宋_GB2312"/>
          <w:sz w:val="32"/>
          <w:szCs w:val="32"/>
        </w:rPr>
        <w:t>促进矿产资源开</w:t>
      </w:r>
      <w:r>
        <w:rPr>
          <w:rStyle w:val="10"/>
          <w:rFonts w:ascii="仿宋_GB2312" w:eastAsia="仿宋_GB2312"/>
          <w:color w:val="000000"/>
          <w:sz w:val="32"/>
          <w:szCs w:val="32"/>
        </w:rPr>
        <w:t>采局面持续向好。</w:t>
      </w:r>
    </w:p>
    <w:p w14:paraId="5714D3EC">
      <w:pPr>
        <w:spacing w:line="360" w:lineRule="auto"/>
        <w:ind w:firstLine="562" w:firstLineChars="200"/>
        <w:jc w:val="center"/>
        <w:rPr>
          <w:rStyle w:val="10"/>
          <w:rFonts w:ascii="仿宋_GB2312" w:hAnsi="宋体" w:eastAsia="仿宋_GB2312"/>
          <w:b/>
          <w:sz w:val="28"/>
          <w:szCs w:val="28"/>
        </w:rPr>
      </w:pPr>
      <w:r>
        <w:rPr>
          <w:rStyle w:val="10"/>
          <w:rFonts w:ascii="仿宋_GB2312" w:hAnsi="宋体" w:eastAsia="仿宋_GB2312"/>
          <w:b/>
          <w:sz w:val="28"/>
          <w:szCs w:val="28"/>
        </w:rPr>
        <w:t>专栏1  规划主要指标</w:t>
      </w:r>
    </w:p>
    <w:tbl>
      <w:tblPr>
        <w:tblStyle w:val="7"/>
        <w:tblpPr w:leftFromText="181" w:rightFromText="181" w:vertAnchor="text" w:horzAnchor="margin" w:tblpY="13"/>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70"/>
        <w:gridCol w:w="1344"/>
        <w:gridCol w:w="1410"/>
        <w:gridCol w:w="1693"/>
        <w:gridCol w:w="1558"/>
        <w:gridCol w:w="1145"/>
      </w:tblGrid>
      <w:tr w14:paraId="615F9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E2AFC3F">
            <w:pPr>
              <w:jc w:val="center"/>
              <w:rPr>
                <w:rStyle w:val="10"/>
                <w:rFonts w:ascii="仿宋_GB2312" w:hAnsi="宋体" w:eastAsia="仿宋_GB2312"/>
                <w:b/>
                <w:sz w:val="24"/>
              </w:rPr>
            </w:pPr>
            <w:r>
              <w:rPr>
                <w:rStyle w:val="10"/>
                <w:rFonts w:ascii="仿宋_GB2312" w:hAnsi="宋体" w:eastAsia="仿宋_GB2312"/>
                <w:b/>
                <w:sz w:val="24"/>
              </w:rPr>
              <w:t>类别</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3D51597F">
            <w:pPr>
              <w:jc w:val="center"/>
              <w:rPr>
                <w:rStyle w:val="10"/>
                <w:rFonts w:ascii="仿宋_GB2312" w:hAnsi="宋体" w:eastAsia="仿宋_GB2312"/>
                <w:b/>
                <w:sz w:val="24"/>
              </w:rPr>
            </w:pPr>
            <w:r>
              <w:rPr>
                <w:rStyle w:val="10"/>
                <w:rFonts w:ascii="仿宋_GB2312" w:hAnsi="宋体" w:eastAsia="仿宋_GB2312"/>
                <w:b/>
                <w:sz w:val="24"/>
              </w:rPr>
              <w:t>指标名称</w:t>
            </w:r>
          </w:p>
        </w:tc>
        <w:tc>
          <w:tcPr>
            <w:tcW w:w="169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933EA11">
            <w:pPr>
              <w:jc w:val="center"/>
              <w:rPr>
                <w:rStyle w:val="10"/>
                <w:rFonts w:ascii="仿宋_GB2312" w:hAnsi="宋体" w:eastAsia="仿宋_GB2312"/>
                <w:b/>
                <w:sz w:val="24"/>
              </w:rPr>
            </w:pPr>
            <w:r>
              <w:rPr>
                <w:rStyle w:val="10"/>
                <w:rFonts w:ascii="仿宋_GB2312" w:hAnsi="宋体" w:eastAsia="仿宋_GB2312"/>
                <w:b/>
                <w:sz w:val="24"/>
              </w:rPr>
              <w:t>单位</w:t>
            </w:r>
          </w:p>
        </w:tc>
        <w:tc>
          <w:tcPr>
            <w:tcW w:w="155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E26FC5F">
            <w:pPr>
              <w:jc w:val="center"/>
              <w:rPr>
                <w:rStyle w:val="10"/>
                <w:rFonts w:ascii="仿宋_GB2312" w:hAnsi="宋体" w:eastAsia="仿宋_GB2312"/>
                <w:b/>
                <w:sz w:val="24"/>
              </w:rPr>
            </w:pPr>
            <w:r>
              <w:rPr>
                <w:rStyle w:val="10"/>
                <w:rFonts w:ascii="仿宋_GB2312" w:hAnsi="宋体" w:eastAsia="仿宋_GB2312"/>
                <w:b/>
                <w:sz w:val="24"/>
              </w:rPr>
              <w:t>2025年</w:t>
            </w:r>
          </w:p>
        </w:tc>
        <w:tc>
          <w:tcPr>
            <w:tcW w:w="114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EF78847">
            <w:pPr>
              <w:jc w:val="center"/>
              <w:rPr>
                <w:rStyle w:val="10"/>
                <w:rFonts w:ascii="仿宋_GB2312" w:hAnsi="宋体" w:eastAsia="仿宋_GB2312"/>
                <w:b/>
                <w:sz w:val="24"/>
              </w:rPr>
            </w:pPr>
            <w:r>
              <w:rPr>
                <w:rStyle w:val="10"/>
                <w:rFonts w:ascii="仿宋_GB2312" w:hAnsi="宋体" w:eastAsia="仿宋_GB2312"/>
                <w:b/>
                <w:sz w:val="24"/>
              </w:rPr>
              <w:t>属性</w:t>
            </w:r>
          </w:p>
        </w:tc>
      </w:tr>
      <w:tr w14:paraId="64D7C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restart"/>
            <w:tcBorders>
              <w:top w:val="single" w:color="000000" w:sz="4" w:space="0"/>
              <w:left w:val="single" w:color="000000" w:sz="4" w:space="0"/>
              <w:bottom w:val="single" w:color="000000" w:sz="4" w:space="0"/>
              <w:right w:val="single" w:color="000000" w:sz="4" w:space="0"/>
            </w:tcBorders>
            <w:vAlign w:val="center"/>
          </w:tcPr>
          <w:p w14:paraId="7180E5C5">
            <w:pPr>
              <w:jc w:val="center"/>
              <w:rPr>
                <w:rStyle w:val="10"/>
                <w:rFonts w:ascii="仿宋_GB2312" w:hAnsi="宋体" w:eastAsia="仿宋_GB2312"/>
                <w:sz w:val="24"/>
              </w:rPr>
            </w:pPr>
            <w:r>
              <w:rPr>
                <w:rStyle w:val="10"/>
                <w:rFonts w:ascii="仿宋_GB2312" w:hAnsi="宋体" w:eastAsia="仿宋_GB2312"/>
                <w:sz w:val="24"/>
              </w:rPr>
              <w:t>矿产资源开发利用与保护</w:t>
            </w: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14:paraId="6CDFDA35">
            <w:pPr>
              <w:jc w:val="center"/>
              <w:rPr>
                <w:rStyle w:val="10"/>
                <w:rFonts w:ascii="仿宋_GB2312" w:hAnsi="宋体" w:eastAsia="仿宋_GB2312"/>
                <w:sz w:val="24"/>
              </w:rPr>
            </w:pPr>
            <w:r>
              <w:rPr>
                <w:rStyle w:val="10"/>
                <w:rFonts w:ascii="仿宋_GB2312" w:hAnsi="宋体" w:eastAsia="仿宋_GB2312"/>
                <w:spacing w:val="-8"/>
                <w:sz w:val="24"/>
              </w:rPr>
              <w:t>非油气类矿山总数</w:t>
            </w:r>
          </w:p>
        </w:tc>
        <w:tc>
          <w:tcPr>
            <w:tcW w:w="1693" w:type="dxa"/>
            <w:tcBorders>
              <w:top w:val="single" w:color="000000" w:sz="4" w:space="0"/>
              <w:left w:val="single" w:color="000000" w:sz="4" w:space="0"/>
              <w:bottom w:val="single" w:color="000000" w:sz="4" w:space="0"/>
              <w:right w:val="single" w:color="000000" w:sz="4" w:space="0"/>
            </w:tcBorders>
            <w:vAlign w:val="center"/>
          </w:tcPr>
          <w:p w14:paraId="74C3450E">
            <w:pPr>
              <w:jc w:val="center"/>
              <w:rPr>
                <w:rStyle w:val="10"/>
                <w:rFonts w:ascii="仿宋_GB2312" w:hAnsi="宋体" w:eastAsia="仿宋_GB2312"/>
                <w:sz w:val="24"/>
              </w:rPr>
            </w:pPr>
            <w:r>
              <w:rPr>
                <w:rStyle w:val="10"/>
                <w:rFonts w:ascii="仿宋_GB2312" w:hAnsi="宋体" w:eastAsia="仿宋_GB2312"/>
                <w:sz w:val="24"/>
              </w:rPr>
              <w:t>个</w:t>
            </w:r>
          </w:p>
        </w:tc>
        <w:tc>
          <w:tcPr>
            <w:tcW w:w="1558" w:type="dxa"/>
            <w:tcBorders>
              <w:top w:val="single" w:color="000000" w:sz="4" w:space="0"/>
              <w:left w:val="single" w:color="000000" w:sz="4" w:space="0"/>
              <w:bottom w:val="single" w:color="000000" w:sz="4" w:space="0"/>
              <w:right w:val="single" w:color="000000" w:sz="4" w:space="0"/>
            </w:tcBorders>
            <w:vAlign w:val="center"/>
          </w:tcPr>
          <w:p w14:paraId="3BCE2392">
            <w:pPr>
              <w:jc w:val="center"/>
              <w:rPr>
                <w:rStyle w:val="10"/>
                <w:rFonts w:ascii="仿宋_GB2312" w:hAnsi="宋体" w:eastAsia="仿宋_GB2312"/>
                <w:sz w:val="24"/>
              </w:rPr>
            </w:pPr>
            <w:r>
              <w:rPr>
                <w:rStyle w:val="10"/>
                <w:rFonts w:ascii="宋体" w:hAnsi="宋体"/>
                <w:sz w:val="24"/>
              </w:rPr>
              <w:t>≦</w:t>
            </w:r>
            <w:r>
              <w:rPr>
                <w:rStyle w:val="10"/>
                <w:rFonts w:ascii="仿宋_GB2312" w:hAnsi="宋体" w:eastAsia="仿宋_GB2312"/>
                <w:sz w:val="24"/>
              </w:rPr>
              <w:t>16</w:t>
            </w:r>
          </w:p>
        </w:tc>
        <w:tc>
          <w:tcPr>
            <w:tcW w:w="1145" w:type="dxa"/>
            <w:tcBorders>
              <w:top w:val="single" w:color="000000" w:sz="4" w:space="0"/>
              <w:left w:val="single" w:color="000000" w:sz="4" w:space="0"/>
              <w:bottom w:val="single" w:color="000000" w:sz="4" w:space="0"/>
              <w:right w:val="single" w:color="000000" w:sz="4" w:space="0"/>
            </w:tcBorders>
            <w:vAlign w:val="center"/>
          </w:tcPr>
          <w:p w14:paraId="6442CE12">
            <w:pPr>
              <w:jc w:val="center"/>
              <w:rPr>
                <w:rStyle w:val="10"/>
                <w:rFonts w:ascii="仿宋_GB2312" w:hAnsi="宋体" w:eastAsia="仿宋_GB2312"/>
                <w:sz w:val="24"/>
              </w:rPr>
            </w:pPr>
            <w:r>
              <w:rPr>
                <w:rStyle w:val="10"/>
                <w:rFonts w:ascii="仿宋_GB2312" w:hAnsi="宋体" w:eastAsia="仿宋_GB2312"/>
                <w:sz w:val="24"/>
              </w:rPr>
              <w:t>预期性</w:t>
            </w:r>
          </w:p>
        </w:tc>
      </w:tr>
      <w:tr w14:paraId="75AF6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087AE2F0">
            <w:pPr>
              <w:jc w:val="center"/>
              <w:rPr>
                <w:rStyle w:val="10"/>
                <w:rFonts w:ascii="仿宋_GB2312" w:hAnsi="宋体" w:eastAsia="仿宋_GB2312"/>
                <w:sz w:val="24"/>
              </w:rPr>
            </w:pP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14:paraId="6CED40E1">
            <w:pPr>
              <w:jc w:val="center"/>
              <w:rPr>
                <w:rStyle w:val="10"/>
                <w:rFonts w:ascii="仿宋_GB2312" w:hAnsi="宋体" w:eastAsia="仿宋_GB2312"/>
                <w:sz w:val="24"/>
              </w:rPr>
            </w:pPr>
            <w:r>
              <w:rPr>
                <w:rStyle w:val="10"/>
                <w:rFonts w:ascii="仿宋_GB2312" w:hAnsi="宋体" w:eastAsia="仿宋_GB2312"/>
                <w:sz w:val="24"/>
              </w:rPr>
              <w:t>建筑用砂、石矿山数量</w:t>
            </w:r>
          </w:p>
        </w:tc>
        <w:tc>
          <w:tcPr>
            <w:tcW w:w="1693" w:type="dxa"/>
            <w:tcBorders>
              <w:top w:val="single" w:color="000000" w:sz="4" w:space="0"/>
              <w:left w:val="single" w:color="000000" w:sz="4" w:space="0"/>
              <w:bottom w:val="single" w:color="000000" w:sz="4" w:space="0"/>
              <w:right w:val="single" w:color="000000" w:sz="4" w:space="0"/>
            </w:tcBorders>
            <w:vAlign w:val="center"/>
          </w:tcPr>
          <w:p w14:paraId="230116A2">
            <w:pPr>
              <w:jc w:val="center"/>
              <w:rPr>
                <w:rStyle w:val="10"/>
                <w:rFonts w:ascii="仿宋_GB2312" w:hAnsi="宋体" w:eastAsia="仿宋_GB2312"/>
                <w:sz w:val="24"/>
              </w:rPr>
            </w:pPr>
            <w:r>
              <w:rPr>
                <w:rStyle w:val="10"/>
                <w:rFonts w:ascii="仿宋_GB2312" w:hAnsi="宋体" w:eastAsia="仿宋_GB2312"/>
                <w:sz w:val="24"/>
              </w:rPr>
              <w:t>个</w:t>
            </w:r>
          </w:p>
        </w:tc>
        <w:tc>
          <w:tcPr>
            <w:tcW w:w="1558" w:type="dxa"/>
            <w:tcBorders>
              <w:top w:val="single" w:color="000000" w:sz="4" w:space="0"/>
              <w:left w:val="single" w:color="000000" w:sz="4" w:space="0"/>
              <w:bottom w:val="single" w:color="000000" w:sz="4" w:space="0"/>
              <w:right w:val="single" w:color="000000" w:sz="4" w:space="0"/>
            </w:tcBorders>
            <w:vAlign w:val="center"/>
          </w:tcPr>
          <w:p w14:paraId="3CD93557">
            <w:pPr>
              <w:jc w:val="center"/>
              <w:rPr>
                <w:rStyle w:val="10"/>
                <w:rFonts w:ascii="仿宋_GB2312" w:hAnsi="宋体" w:eastAsia="仿宋_GB2312"/>
                <w:sz w:val="24"/>
              </w:rPr>
            </w:pPr>
            <w:r>
              <w:rPr>
                <w:rStyle w:val="10"/>
                <w:rFonts w:ascii="仿宋" w:hAnsi="仿宋"/>
                <w:sz w:val="24"/>
              </w:rPr>
              <w:t>≦</w:t>
            </w:r>
            <w:r>
              <w:rPr>
                <w:rStyle w:val="10"/>
                <w:rFonts w:ascii="仿宋_GB2312" w:hAnsi="宋体" w:eastAsia="仿宋_GB2312"/>
                <w:sz w:val="24"/>
              </w:rPr>
              <w:t>4</w:t>
            </w:r>
          </w:p>
        </w:tc>
        <w:tc>
          <w:tcPr>
            <w:tcW w:w="1145" w:type="dxa"/>
            <w:tcBorders>
              <w:top w:val="single" w:color="000000" w:sz="4" w:space="0"/>
              <w:left w:val="single" w:color="000000" w:sz="4" w:space="0"/>
              <w:bottom w:val="single" w:color="000000" w:sz="4" w:space="0"/>
              <w:right w:val="single" w:color="000000" w:sz="4" w:space="0"/>
            </w:tcBorders>
            <w:vAlign w:val="center"/>
          </w:tcPr>
          <w:p w14:paraId="6A3323D7">
            <w:pPr>
              <w:jc w:val="center"/>
              <w:rPr>
                <w:rStyle w:val="10"/>
                <w:rFonts w:ascii="仿宋_GB2312" w:hAnsi="宋体" w:eastAsia="仿宋_GB2312"/>
                <w:sz w:val="24"/>
              </w:rPr>
            </w:pPr>
            <w:r>
              <w:rPr>
                <w:rStyle w:val="10"/>
                <w:rFonts w:ascii="仿宋_GB2312" w:hAnsi="宋体" w:eastAsia="仿宋_GB2312"/>
                <w:sz w:val="24"/>
              </w:rPr>
              <w:t>预期性</w:t>
            </w:r>
          </w:p>
        </w:tc>
      </w:tr>
      <w:tr w14:paraId="112F5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06F69453">
            <w:pPr>
              <w:jc w:val="center"/>
              <w:rPr>
                <w:rStyle w:val="10"/>
                <w:rFonts w:ascii="仿宋_GB2312" w:hAnsi="宋体" w:eastAsia="仿宋_GB2312"/>
                <w:sz w:val="24"/>
              </w:rPr>
            </w:pP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14:paraId="063D3880">
            <w:pPr>
              <w:jc w:val="center"/>
              <w:rPr>
                <w:rStyle w:val="10"/>
                <w:rFonts w:ascii="仿宋_GB2312" w:hAnsi="宋体" w:eastAsia="仿宋_GB2312"/>
                <w:sz w:val="24"/>
              </w:rPr>
            </w:pPr>
            <w:r>
              <w:rPr>
                <w:rStyle w:val="10"/>
                <w:rFonts w:ascii="仿宋_GB2312" w:hAnsi="宋体" w:eastAsia="仿宋_GB2312"/>
                <w:sz w:val="24"/>
              </w:rPr>
              <w:t>大中型矿山比例</w:t>
            </w:r>
          </w:p>
        </w:tc>
        <w:tc>
          <w:tcPr>
            <w:tcW w:w="1693" w:type="dxa"/>
            <w:tcBorders>
              <w:top w:val="single" w:color="000000" w:sz="4" w:space="0"/>
              <w:left w:val="single" w:color="000000" w:sz="4" w:space="0"/>
              <w:bottom w:val="single" w:color="000000" w:sz="4" w:space="0"/>
              <w:right w:val="single" w:color="000000" w:sz="4" w:space="0"/>
            </w:tcBorders>
            <w:vAlign w:val="center"/>
          </w:tcPr>
          <w:p w14:paraId="504A6935">
            <w:pPr>
              <w:jc w:val="center"/>
              <w:rPr>
                <w:rStyle w:val="10"/>
                <w:rFonts w:ascii="仿宋_GB2312" w:hAnsi="宋体" w:eastAsia="仿宋_GB2312"/>
                <w:sz w:val="24"/>
              </w:rPr>
            </w:pPr>
            <w:r>
              <w:rPr>
                <w:rStyle w:val="10"/>
                <w:rFonts w:ascii="仿宋_GB2312" w:hAnsi="宋体" w:eastAsia="仿宋_GB2312"/>
                <w:sz w:val="24"/>
              </w:rPr>
              <w:t>%</w:t>
            </w:r>
          </w:p>
        </w:tc>
        <w:tc>
          <w:tcPr>
            <w:tcW w:w="1558" w:type="dxa"/>
            <w:tcBorders>
              <w:top w:val="single" w:color="000000" w:sz="4" w:space="0"/>
              <w:left w:val="single" w:color="000000" w:sz="4" w:space="0"/>
              <w:bottom w:val="single" w:color="000000" w:sz="4" w:space="0"/>
              <w:right w:val="single" w:color="000000" w:sz="4" w:space="0"/>
            </w:tcBorders>
            <w:vAlign w:val="center"/>
          </w:tcPr>
          <w:p w14:paraId="1DE6BAA0">
            <w:pPr>
              <w:jc w:val="center"/>
              <w:rPr>
                <w:rStyle w:val="10"/>
                <w:rFonts w:ascii="仿宋_GB2312" w:hAnsi="宋体"/>
                <w:sz w:val="24"/>
              </w:rPr>
            </w:pPr>
            <w:r>
              <w:rPr>
                <w:rStyle w:val="10"/>
                <w:rFonts w:ascii="仿宋" w:hAnsi="仿宋"/>
                <w:sz w:val="24"/>
              </w:rPr>
              <w:t>≧</w:t>
            </w:r>
            <w:r>
              <w:rPr>
                <w:rStyle w:val="10"/>
                <w:rFonts w:ascii="仿宋_GB2312" w:hAnsi="宋体" w:eastAsia="仿宋_GB2312"/>
                <w:sz w:val="24"/>
              </w:rPr>
              <w:t>70</w:t>
            </w:r>
          </w:p>
        </w:tc>
        <w:tc>
          <w:tcPr>
            <w:tcW w:w="1145" w:type="dxa"/>
            <w:tcBorders>
              <w:top w:val="single" w:color="000000" w:sz="4" w:space="0"/>
              <w:left w:val="single" w:color="000000" w:sz="4" w:space="0"/>
              <w:bottom w:val="single" w:color="000000" w:sz="4" w:space="0"/>
              <w:right w:val="single" w:color="000000" w:sz="4" w:space="0"/>
            </w:tcBorders>
            <w:vAlign w:val="center"/>
          </w:tcPr>
          <w:p w14:paraId="5D549268">
            <w:pPr>
              <w:jc w:val="center"/>
              <w:rPr>
                <w:rStyle w:val="10"/>
                <w:rFonts w:ascii="仿宋_GB2312" w:hAnsi="宋体" w:eastAsia="仿宋_GB2312"/>
                <w:sz w:val="24"/>
              </w:rPr>
            </w:pPr>
            <w:r>
              <w:rPr>
                <w:rStyle w:val="10"/>
                <w:rFonts w:ascii="仿宋_GB2312" w:hAnsi="宋体" w:eastAsia="仿宋_GB2312"/>
                <w:sz w:val="24"/>
              </w:rPr>
              <w:t>预期性</w:t>
            </w:r>
          </w:p>
        </w:tc>
      </w:tr>
      <w:tr w14:paraId="57475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637C7EAA">
            <w:pPr>
              <w:jc w:val="center"/>
              <w:rPr>
                <w:rStyle w:val="10"/>
                <w:rFonts w:ascii="仿宋_GB2312" w:hAnsi="宋体" w:eastAsia="仿宋_GB2312"/>
                <w:sz w:val="24"/>
              </w:rPr>
            </w:pPr>
          </w:p>
        </w:tc>
        <w:tc>
          <w:tcPr>
            <w:tcW w:w="1344" w:type="dxa"/>
            <w:vMerge w:val="restart"/>
            <w:tcBorders>
              <w:top w:val="single" w:color="000000" w:sz="4" w:space="0"/>
              <w:left w:val="single" w:color="000000" w:sz="4" w:space="0"/>
              <w:bottom w:val="single" w:color="000000" w:sz="4" w:space="0"/>
              <w:right w:val="single" w:color="000000" w:sz="4" w:space="0"/>
            </w:tcBorders>
            <w:vAlign w:val="center"/>
          </w:tcPr>
          <w:p w14:paraId="21535181">
            <w:pPr>
              <w:jc w:val="center"/>
              <w:rPr>
                <w:rStyle w:val="10"/>
                <w:rFonts w:ascii="仿宋_GB2312" w:hAnsi="宋体" w:eastAsia="仿宋_GB2312"/>
                <w:sz w:val="24"/>
              </w:rPr>
            </w:pPr>
            <w:r>
              <w:rPr>
                <w:rStyle w:val="10"/>
                <w:rFonts w:ascii="仿宋_GB2312" w:hAnsi="宋体" w:eastAsia="仿宋_GB2312"/>
                <w:sz w:val="24"/>
              </w:rPr>
              <w:t>年开采总量</w:t>
            </w:r>
          </w:p>
        </w:tc>
        <w:tc>
          <w:tcPr>
            <w:tcW w:w="1410" w:type="dxa"/>
            <w:tcBorders>
              <w:top w:val="single" w:color="000000" w:sz="4" w:space="0"/>
              <w:left w:val="single" w:color="000000" w:sz="4" w:space="0"/>
              <w:bottom w:val="single" w:color="000000" w:sz="4" w:space="0"/>
              <w:right w:val="single" w:color="000000" w:sz="4" w:space="0"/>
            </w:tcBorders>
            <w:vAlign w:val="center"/>
          </w:tcPr>
          <w:p w14:paraId="24BD35B6">
            <w:pPr>
              <w:jc w:val="center"/>
              <w:rPr>
                <w:rStyle w:val="10"/>
                <w:rFonts w:ascii="仿宋_GB2312" w:hAnsi="宋体" w:eastAsia="仿宋_GB2312"/>
                <w:sz w:val="24"/>
              </w:rPr>
            </w:pPr>
            <w:r>
              <w:rPr>
                <w:rStyle w:val="10"/>
                <w:rFonts w:ascii="仿宋_GB2312" w:hAnsi="宋体" w:eastAsia="仿宋_GB2312"/>
                <w:sz w:val="24"/>
              </w:rPr>
              <w:t>煤炭</w:t>
            </w:r>
          </w:p>
        </w:tc>
        <w:tc>
          <w:tcPr>
            <w:tcW w:w="1693" w:type="dxa"/>
            <w:tcBorders>
              <w:top w:val="single" w:color="000000" w:sz="4" w:space="0"/>
              <w:left w:val="single" w:color="000000" w:sz="4" w:space="0"/>
              <w:bottom w:val="single" w:color="000000" w:sz="4" w:space="0"/>
              <w:right w:val="single" w:color="000000" w:sz="4" w:space="0"/>
            </w:tcBorders>
            <w:vAlign w:val="center"/>
          </w:tcPr>
          <w:p w14:paraId="3CFDE549">
            <w:pPr>
              <w:jc w:val="center"/>
              <w:rPr>
                <w:rStyle w:val="10"/>
                <w:rFonts w:ascii="仿宋_GB2312" w:hAnsi="宋体" w:eastAsia="仿宋_GB2312"/>
                <w:sz w:val="24"/>
              </w:rPr>
            </w:pPr>
            <w:r>
              <w:rPr>
                <w:rStyle w:val="10"/>
                <w:rFonts w:ascii="仿宋_GB2312" w:hAnsi="宋体" w:eastAsia="仿宋_GB2312"/>
                <w:sz w:val="24"/>
              </w:rPr>
              <w:t>万吨</w:t>
            </w:r>
          </w:p>
        </w:tc>
        <w:tc>
          <w:tcPr>
            <w:tcW w:w="1558" w:type="dxa"/>
            <w:tcBorders>
              <w:top w:val="single" w:color="000000" w:sz="4" w:space="0"/>
              <w:left w:val="single" w:color="000000" w:sz="4" w:space="0"/>
              <w:bottom w:val="single" w:color="000000" w:sz="4" w:space="0"/>
              <w:right w:val="single" w:color="000000" w:sz="4" w:space="0"/>
            </w:tcBorders>
            <w:vAlign w:val="center"/>
          </w:tcPr>
          <w:p w14:paraId="7C46AC28">
            <w:pPr>
              <w:jc w:val="center"/>
              <w:rPr>
                <w:rStyle w:val="10"/>
                <w:rFonts w:ascii="仿宋_GB2312" w:hAnsi="宋体" w:eastAsia="仿宋_GB2312"/>
                <w:sz w:val="24"/>
              </w:rPr>
            </w:pPr>
            <w:r>
              <w:rPr>
                <w:rStyle w:val="10"/>
                <w:rFonts w:ascii="仿宋_GB2312" w:hAnsi="宋体" w:eastAsia="仿宋_GB2312"/>
                <w:sz w:val="24"/>
              </w:rPr>
              <w:t>（7000）</w:t>
            </w:r>
          </w:p>
        </w:tc>
        <w:tc>
          <w:tcPr>
            <w:tcW w:w="1145" w:type="dxa"/>
            <w:vMerge w:val="restart"/>
            <w:tcBorders>
              <w:top w:val="single" w:color="000000" w:sz="4" w:space="0"/>
              <w:left w:val="single" w:color="000000" w:sz="4" w:space="0"/>
              <w:bottom w:val="single" w:color="000000" w:sz="4" w:space="0"/>
              <w:right w:val="single" w:color="000000" w:sz="4" w:space="0"/>
            </w:tcBorders>
            <w:vAlign w:val="center"/>
          </w:tcPr>
          <w:p w14:paraId="0FFABBE6">
            <w:pPr>
              <w:jc w:val="center"/>
              <w:rPr>
                <w:rStyle w:val="10"/>
                <w:rFonts w:ascii="仿宋_GB2312" w:hAnsi="宋体" w:eastAsia="仿宋_GB2312"/>
                <w:sz w:val="24"/>
              </w:rPr>
            </w:pPr>
            <w:r>
              <w:rPr>
                <w:rStyle w:val="10"/>
                <w:rFonts w:ascii="仿宋_GB2312" w:hAnsi="宋体" w:eastAsia="仿宋_GB2312"/>
                <w:sz w:val="24"/>
              </w:rPr>
              <w:t>预期性</w:t>
            </w:r>
          </w:p>
        </w:tc>
      </w:tr>
      <w:tr w14:paraId="21FF1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109098AB">
            <w:pPr>
              <w:jc w:val="center"/>
              <w:rPr>
                <w:rStyle w:val="10"/>
                <w:rFonts w:ascii="仿宋_GB2312" w:hAnsi="宋体" w:eastAsia="仿宋_GB2312"/>
                <w:sz w:val="24"/>
              </w:rPr>
            </w:pPr>
          </w:p>
        </w:tc>
        <w:tc>
          <w:tcPr>
            <w:tcW w:w="1344" w:type="dxa"/>
            <w:vMerge w:val="continue"/>
            <w:tcBorders>
              <w:top w:val="single" w:color="000000" w:sz="4" w:space="0"/>
              <w:left w:val="single" w:color="000000" w:sz="4" w:space="0"/>
              <w:bottom w:val="single" w:color="000000" w:sz="4" w:space="0"/>
              <w:right w:val="single" w:color="000000" w:sz="4" w:space="0"/>
            </w:tcBorders>
            <w:vAlign w:val="center"/>
          </w:tcPr>
          <w:p w14:paraId="11276F12">
            <w:pPr>
              <w:jc w:val="center"/>
              <w:rPr>
                <w:rStyle w:val="10"/>
                <w:rFonts w:ascii="仿宋_GB2312" w:hAnsi="宋体" w:eastAsia="仿宋_GB2312"/>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232B8A90">
            <w:pPr>
              <w:jc w:val="center"/>
              <w:rPr>
                <w:rStyle w:val="10"/>
                <w:rFonts w:ascii="仿宋_GB2312" w:hAnsi="宋体" w:eastAsia="仿宋_GB2312"/>
                <w:sz w:val="24"/>
              </w:rPr>
            </w:pPr>
            <w:r>
              <w:rPr>
                <w:rStyle w:val="10"/>
                <w:rFonts w:ascii="仿宋_GB2312" w:hAnsi="宋体" w:eastAsia="仿宋_GB2312"/>
                <w:sz w:val="24"/>
              </w:rPr>
              <w:t>建筑用砂</w:t>
            </w:r>
          </w:p>
        </w:tc>
        <w:tc>
          <w:tcPr>
            <w:tcW w:w="1693" w:type="dxa"/>
            <w:tcBorders>
              <w:top w:val="single" w:color="000000" w:sz="4" w:space="0"/>
              <w:left w:val="single" w:color="000000" w:sz="4" w:space="0"/>
              <w:bottom w:val="single" w:color="000000" w:sz="4" w:space="0"/>
              <w:right w:val="single" w:color="000000" w:sz="4" w:space="0"/>
            </w:tcBorders>
            <w:vAlign w:val="center"/>
          </w:tcPr>
          <w:p w14:paraId="132E0011">
            <w:pPr>
              <w:jc w:val="center"/>
              <w:rPr>
                <w:rStyle w:val="10"/>
                <w:rFonts w:ascii="仿宋_GB2312" w:hAnsi="宋体" w:eastAsia="仿宋_GB2312"/>
                <w:sz w:val="24"/>
              </w:rPr>
            </w:pPr>
            <w:r>
              <w:rPr>
                <w:rStyle w:val="10"/>
                <w:rFonts w:ascii="仿宋_GB2312" w:hAnsi="宋体" w:eastAsia="仿宋_GB2312"/>
                <w:sz w:val="24"/>
              </w:rPr>
              <w:t>矿石 万立方米</w:t>
            </w:r>
          </w:p>
        </w:tc>
        <w:tc>
          <w:tcPr>
            <w:tcW w:w="1558" w:type="dxa"/>
            <w:tcBorders>
              <w:top w:val="single" w:color="000000" w:sz="4" w:space="0"/>
              <w:left w:val="single" w:color="000000" w:sz="4" w:space="0"/>
              <w:bottom w:val="single" w:color="000000" w:sz="4" w:space="0"/>
              <w:right w:val="single" w:color="000000" w:sz="4" w:space="0"/>
            </w:tcBorders>
            <w:vAlign w:val="center"/>
          </w:tcPr>
          <w:p w14:paraId="79DCCD4C">
            <w:pPr>
              <w:jc w:val="center"/>
              <w:rPr>
                <w:rStyle w:val="10"/>
                <w:rFonts w:ascii="仿宋_GB2312" w:hAnsi="宋体" w:eastAsia="仿宋_GB2312"/>
                <w:sz w:val="24"/>
              </w:rPr>
            </w:pPr>
            <w:r>
              <w:rPr>
                <w:rStyle w:val="10"/>
                <w:rFonts w:ascii="仿宋_GB2312" w:hAnsi="宋体" w:eastAsia="仿宋_GB2312"/>
                <w:sz w:val="24"/>
              </w:rPr>
              <w:t>（100）</w:t>
            </w: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0614B8A1">
            <w:pPr>
              <w:jc w:val="center"/>
              <w:rPr>
                <w:rStyle w:val="10"/>
                <w:rFonts w:ascii="仿宋_GB2312" w:hAnsi="宋体" w:eastAsia="仿宋_GB2312"/>
                <w:sz w:val="24"/>
              </w:rPr>
            </w:pPr>
          </w:p>
        </w:tc>
      </w:tr>
      <w:tr w14:paraId="19848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426C4E70">
            <w:pPr>
              <w:jc w:val="center"/>
              <w:rPr>
                <w:rStyle w:val="10"/>
                <w:rFonts w:ascii="仿宋_GB2312" w:hAnsi="宋体" w:eastAsia="仿宋_GB2312"/>
                <w:sz w:val="24"/>
              </w:rPr>
            </w:pPr>
          </w:p>
        </w:tc>
        <w:tc>
          <w:tcPr>
            <w:tcW w:w="1344" w:type="dxa"/>
            <w:vMerge w:val="continue"/>
            <w:tcBorders>
              <w:top w:val="single" w:color="000000" w:sz="4" w:space="0"/>
              <w:left w:val="single" w:color="000000" w:sz="4" w:space="0"/>
              <w:bottom w:val="single" w:color="000000" w:sz="4" w:space="0"/>
              <w:right w:val="single" w:color="000000" w:sz="4" w:space="0"/>
            </w:tcBorders>
            <w:vAlign w:val="center"/>
          </w:tcPr>
          <w:p w14:paraId="7D76D3C0">
            <w:pPr>
              <w:jc w:val="center"/>
              <w:rPr>
                <w:rStyle w:val="10"/>
                <w:rFonts w:ascii="仿宋_GB2312" w:hAnsi="宋体" w:eastAsia="仿宋_GB2312"/>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750A359B">
            <w:pPr>
              <w:jc w:val="center"/>
              <w:rPr>
                <w:rStyle w:val="10"/>
                <w:rFonts w:ascii="仿宋_GB2312" w:hAnsi="宋体" w:eastAsia="仿宋_GB2312"/>
                <w:sz w:val="24"/>
              </w:rPr>
            </w:pPr>
            <w:r>
              <w:rPr>
                <w:rStyle w:val="10"/>
                <w:rFonts w:ascii="仿宋_GB2312" w:hAnsi="宋体" w:eastAsia="仿宋_GB2312"/>
                <w:sz w:val="24"/>
              </w:rPr>
              <w:t>建筑用石料</w:t>
            </w:r>
          </w:p>
        </w:tc>
        <w:tc>
          <w:tcPr>
            <w:tcW w:w="1693" w:type="dxa"/>
            <w:tcBorders>
              <w:top w:val="single" w:color="000000" w:sz="4" w:space="0"/>
              <w:left w:val="single" w:color="000000" w:sz="4" w:space="0"/>
              <w:bottom w:val="single" w:color="000000" w:sz="4" w:space="0"/>
              <w:right w:val="single" w:color="000000" w:sz="4" w:space="0"/>
            </w:tcBorders>
            <w:vAlign w:val="center"/>
          </w:tcPr>
          <w:p w14:paraId="499CB3C0">
            <w:pPr>
              <w:jc w:val="center"/>
              <w:rPr>
                <w:rStyle w:val="10"/>
                <w:rFonts w:ascii="仿宋_GB2312" w:hAnsi="宋体" w:eastAsia="仿宋_GB2312"/>
                <w:sz w:val="24"/>
              </w:rPr>
            </w:pPr>
            <w:r>
              <w:rPr>
                <w:rStyle w:val="10"/>
                <w:rFonts w:ascii="仿宋_GB2312" w:hAnsi="宋体" w:eastAsia="仿宋_GB2312"/>
                <w:sz w:val="24"/>
              </w:rPr>
              <w:t>矿石 万立方米</w:t>
            </w:r>
          </w:p>
        </w:tc>
        <w:tc>
          <w:tcPr>
            <w:tcW w:w="1558" w:type="dxa"/>
            <w:tcBorders>
              <w:top w:val="single" w:color="000000" w:sz="4" w:space="0"/>
              <w:left w:val="single" w:color="000000" w:sz="4" w:space="0"/>
              <w:bottom w:val="single" w:color="000000" w:sz="4" w:space="0"/>
              <w:right w:val="single" w:color="000000" w:sz="4" w:space="0"/>
            </w:tcBorders>
            <w:vAlign w:val="center"/>
          </w:tcPr>
          <w:p w14:paraId="44A2F189">
            <w:pPr>
              <w:jc w:val="center"/>
              <w:rPr>
                <w:rStyle w:val="10"/>
                <w:rFonts w:ascii="仿宋_GB2312" w:hAnsi="宋体" w:eastAsia="仿宋_GB2312"/>
                <w:sz w:val="24"/>
              </w:rPr>
            </w:pPr>
            <w:r>
              <w:rPr>
                <w:rStyle w:val="10"/>
                <w:rFonts w:ascii="仿宋_GB2312" w:hAnsi="宋体" w:eastAsia="仿宋_GB2312"/>
                <w:sz w:val="24"/>
              </w:rPr>
              <w:t>（150）</w:t>
            </w: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37F7B442">
            <w:pPr>
              <w:jc w:val="center"/>
              <w:rPr>
                <w:rStyle w:val="10"/>
                <w:rFonts w:ascii="仿宋_GB2312" w:hAnsi="宋体" w:eastAsia="仿宋_GB2312"/>
                <w:sz w:val="24"/>
              </w:rPr>
            </w:pPr>
          </w:p>
        </w:tc>
      </w:tr>
      <w:tr w14:paraId="6CC36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44E968A5">
            <w:pPr>
              <w:jc w:val="center"/>
              <w:rPr>
                <w:rStyle w:val="10"/>
                <w:rFonts w:ascii="仿宋_GB2312" w:hAnsi="宋体" w:eastAsia="仿宋_GB2312"/>
                <w:sz w:val="24"/>
              </w:rPr>
            </w:pP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14:paraId="323B8733">
            <w:pPr>
              <w:jc w:val="center"/>
              <w:rPr>
                <w:rStyle w:val="10"/>
                <w:rFonts w:ascii="仿宋_GB2312" w:hAnsi="宋体" w:eastAsia="仿宋_GB2312"/>
                <w:sz w:val="24"/>
              </w:rPr>
            </w:pPr>
            <w:r>
              <w:rPr>
                <w:rStyle w:val="10"/>
                <w:rFonts w:hint="eastAsia" w:ascii="仿宋_GB2312" w:hAnsi="宋体" w:eastAsia="仿宋_GB2312"/>
                <w:spacing w:val="-8"/>
                <w:sz w:val="24"/>
              </w:rPr>
              <w:t>矿产资源保护区</w:t>
            </w:r>
            <w:r>
              <w:rPr>
                <w:rStyle w:val="10"/>
                <w:rFonts w:ascii="仿宋_GB2312" w:hAnsi="宋体" w:eastAsia="仿宋_GB2312"/>
                <w:spacing w:val="-8"/>
                <w:sz w:val="24"/>
              </w:rPr>
              <w:t>数量</w:t>
            </w:r>
          </w:p>
        </w:tc>
        <w:tc>
          <w:tcPr>
            <w:tcW w:w="1693" w:type="dxa"/>
            <w:tcBorders>
              <w:top w:val="single" w:color="000000" w:sz="4" w:space="0"/>
              <w:left w:val="single" w:color="000000" w:sz="4" w:space="0"/>
              <w:bottom w:val="single" w:color="000000" w:sz="4" w:space="0"/>
              <w:right w:val="single" w:color="000000" w:sz="4" w:space="0"/>
            </w:tcBorders>
            <w:vAlign w:val="center"/>
          </w:tcPr>
          <w:p w14:paraId="26C78160">
            <w:pPr>
              <w:jc w:val="center"/>
              <w:rPr>
                <w:rStyle w:val="10"/>
                <w:rFonts w:ascii="仿宋_GB2312" w:hAnsi="宋体" w:eastAsia="仿宋_GB2312"/>
                <w:sz w:val="24"/>
              </w:rPr>
            </w:pPr>
            <w:r>
              <w:rPr>
                <w:rStyle w:val="10"/>
                <w:rFonts w:ascii="仿宋_GB2312" w:hAnsi="宋体" w:eastAsia="仿宋_GB2312"/>
                <w:sz w:val="24"/>
              </w:rPr>
              <w:t>个</w:t>
            </w:r>
          </w:p>
        </w:tc>
        <w:tc>
          <w:tcPr>
            <w:tcW w:w="1558" w:type="dxa"/>
            <w:tcBorders>
              <w:top w:val="single" w:color="000000" w:sz="4" w:space="0"/>
              <w:left w:val="single" w:color="000000" w:sz="4" w:space="0"/>
              <w:bottom w:val="single" w:color="000000" w:sz="4" w:space="0"/>
              <w:right w:val="single" w:color="000000" w:sz="4" w:space="0"/>
            </w:tcBorders>
            <w:vAlign w:val="center"/>
          </w:tcPr>
          <w:p w14:paraId="6CED61ED">
            <w:pPr>
              <w:jc w:val="center"/>
              <w:rPr>
                <w:rStyle w:val="10"/>
                <w:rFonts w:ascii="仿宋_GB2312" w:hAnsi="宋体" w:eastAsia="仿宋_GB2312"/>
                <w:sz w:val="24"/>
              </w:rPr>
            </w:pPr>
            <w:r>
              <w:rPr>
                <w:rStyle w:val="10"/>
                <w:rFonts w:ascii="仿宋_GB2312" w:hAnsi="宋体" w:eastAsia="仿宋_GB2312"/>
                <w:sz w:val="24"/>
              </w:rPr>
              <w:t>4</w:t>
            </w:r>
          </w:p>
        </w:tc>
        <w:tc>
          <w:tcPr>
            <w:tcW w:w="1145" w:type="dxa"/>
            <w:tcBorders>
              <w:top w:val="single" w:color="000000" w:sz="4" w:space="0"/>
              <w:left w:val="single" w:color="000000" w:sz="4" w:space="0"/>
              <w:bottom w:val="single" w:color="000000" w:sz="4" w:space="0"/>
              <w:right w:val="single" w:color="000000" w:sz="4" w:space="0"/>
            </w:tcBorders>
            <w:vAlign w:val="center"/>
          </w:tcPr>
          <w:p w14:paraId="4361F09B">
            <w:pPr>
              <w:jc w:val="center"/>
              <w:rPr>
                <w:rStyle w:val="10"/>
                <w:rFonts w:ascii="仿宋_GB2312" w:hAnsi="宋体" w:eastAsia="仿宋_GB2312"/>
                <w:sz w:val="24"/>
              </w:rPr>
            </w:pPr>
            <w:r>
              <w:rPr>
                <w:rStyle w:val="10"/>
                <w:rFonts w:ascii="仿宋_GB2312" w:hAnsi="宋体" w:eastAsia="仿宋_GB2312"/>
                <w:sz w:val="24"/>
              </w:rPr>
              <w:t>预期性</w:t>
            </w:r>
          </w:p>
        </w:tc>
      </w:tr>
      <w:tr w14:paraId="1A69E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20" w:type="dxa"/>
            <w:gridSpan w:val="6"/>
            <w:tcBorders>
              <w:top w:val="single" w:color="000000" w:sz="4" w:space="0"/>
              <w:left w:val="single" w:color="000000" w:sz="4" w:space="0"/>
              <w:bottom w:val="single" w:color="000000" w:sz="4" w:space="0"/>
              <w:right w:val="single" w:color="000000" w:sz="4" w:space="0"/>
            </w:tcBorders>
            <w:vAlign w:val="center"/>
          </w:tcPr>
          <w:p w14:paraId="379D95DF">
            <w:pPr>
              <w:jc w:val="left"/>
              <w:rPr>
                <w:rStyle w:val="10"/>
                <w:rFonts w:ascii="仿宋_GB2312" w:hAnsi="宋体" w:eastAsia="仿宋_GB2312"/>
                <w:sz w:val="24"/>
              </w:rPr>
            </w:pPr>
            <w:r>
              <w:rPr>
                <w:rStyle w:val="10"/>
                <w:rFonts w:ascii="仿宋_GB2312" w:hAnsi="宋体" w:eastAsia="仿宋_GB2312"/>
                <w:sz w:val="24"/>
              </w:rPr>
              <w:t>注：（）中为每年计数。</w:t>
            </w:r>
          </w:p>
        </w:tc>
      </w:tr>
    </w:tbl>
    <w:p w14:paraId="00FF7EB9">
      <w:pPr>
        <w:keepLines/>
        <w:spacing w:before="313" w:after="15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二、2035年展望</w:t>
      </w:r>
    </w:p>
    <w:p w14:paraId="7EF74348">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矿产资源勘查开发与保护布局更加优化、结构更加合理，矿产资源实现规模化、集约化、绿色化利用，矿政管理制度更加完善，矿山生态环境根本好转，矿业绿色转型全面完成，矿产资源治理体系和治理能力现代化基本实现，矿业高质量发展新格局全面形成。</w:t>
      </w:r>
    </w:p>
    <w:p w14:paraId="09A2FB5A">
      <w:pPr>
        <w:spacing w:line="360" w:lineRule="auto"/>
        <w:ind w:firstLine="640" w:firstLineChars="200"/>
        <w:rPr>
          <w:rStyle w:val="10"/>
          <w:rFonts w:ascii="宋体" w:hAnsi="宋体" w:eastAsia="仿宋_GB2312"/>
          <w:sz w:val="32"/>
          <w:szCs w:val="28"/>
        </w:rPr>
      </w:pPr>
    </w:p>
    <w:p w14:paraId="566B5B18">
      <w:pPr>
        <w:pStyle w:val="13"/>
        <w:spacing w:before="312" w:beforeAutospacing="1" w:after="312" w:afterAutospacing="1" w:line="1280" w:lineRule="exact"/>
        <w:jc w:val="center"/>
        <w:rPr>
          <w:rStyle w:val="10"/>
          <w:rFonts w:ascii="黑体" w:hAnsi="仿宋_GB2312" w:eastAsia="黑体"/>
          <w:sz w:val="32"/>
          <w:szCs w:val="32"/>
        </w:rPr>
        <w:sectPr>
          <w:pgSz w:w="11906" w:h="16838"/>
          <w:pgMar w:top="1440" w:right="1800" w:bottom="1440" w:left="1800" w:header="851" w:footer="992" w:gutter="0"/>
          <w:cols w:space="425" w:num="1"/>
          <w:docGrid w:type="lines" w:linePitch="312" w:charSpace="0"/>
        </w:sectPr>
      </w:pPr>
    </w:p>
    <w:p w14:paraId="48433EBE">
      <w:pPr>
        <w:pStyle w:val="13"/>
        <w:spacing w:before="312" w:beforeAutospacing="1" w:after="312" w:afterAutospacing="1" w:line="1000" w:lineRule="exact"/>
        <w:jc w:val="center"/>
        <w:outlineLvl w:val="0"/>
        <w:rPr>
          <w:rStyle w:val="10"/>
          <w:rFonts w:ascii="黑体" w:hAnsi="仿宋_GB2312" w:eastAsia="黑体"/>
          <w:sz w:val="32"/>
          <w:szCs w:val="32"/>
        </w:rPr>
      </w:pPr>
      <w:r>
        <w:rPr>
          <w:rStyle w:val="10"/>
          <w:rFonts w:ascii="黑体" w:hAnsi="仿宋_GB2312" w:eastAsia="黑体"/>
          <w:sz w:val="32"/>
          <w:szCs w:val="32"/>
        </w:rPr>
        <w:t>第三章  矿产资源勘查开发总体布局</w:t>
      </w:r>
    </w:p>
    <w:p w14:paraId="2206F738">
      <w:pPr>
        <w:ind w:firstLine="640" w:firstLineChars="200"/>
        <w:rPr>
          <w:rStyle w:val="10"/>
          <w:rFonts w:eastAsia="仿宋_GB2312"/>
          <w:sz w:val="32"/>
          <w:szCs w:val="32"/>
        </w:rPr>
      </w:pPr>
      <w:r>
        <w:rPr>
          <w:rStyle w:val="10"/>
          <w:rFonts w:eastAsia="仿宋_GB2312"/>
          <w:sz w:val="32"/>
          <w:szCs w:val="32"/>
        </w:rPr>
        <w:t>严格落实国土空间和“三线一单”生态环境分区管控要求，严格执行产业准入负面清单。落实生态保护红线、永久基本农田线、城镇开发边界线等管控要求；落实自治区最严格的草原生态环境保护制度；落实国家、自治区其他不得开采矿产资源的区域。</w:t>
      </w:r>
    </w:p>
    <w:p w14:paraId="55737C0C">
      <w:pPr>
        <w:pStyle w:val="14"/>
        <w:spacing w:before="0" w:after="312" w:afterAutospacing="1" w:line="960" w:lineRule="exact"/>
        <w:jc w:val="center"/>
        <w:outlineLvl w:val="1"/>
        <w:rPr>
          <w:rStyle w:val="10"/>
          <w:rFonts w:ascii="宋体" w:hAnsi="宋体" w:eastAsia="仿宋_GB2312"/>
        </w:rPr>
      </w:pPr>
      <w:r>
        <w:rPr>
          <w:rStyle w:val="10"/>
          <w:rFonts w:ascii="宋体" w:hAnsi="宋体" w:eastAsia="仿宋_GB2312"/>
        </w:rPr>
        <w:t>第一节  矿产资源勘查开发调控方向</w:t>
      </w:r>
    </w:p>
    <w:p w14:paraId="2BAEF323">
      <w:pPr>
        <w:spacing w:line="360" w:lineRule="auto"/>
        <w:ind w:firstLine="643" w:firstLineChars="200"/>
        <w:rPr>
          <w:rStyle w:val="10"/>
          <w:rFonts w:ascii="宋体" w:hAnsi="宋体" w:eastAsia="仿宋_GB2312" w:cs="Calibri"/>
          <w:bCs/>
          <w:sz w:val="32"/>
          <w:szCs w:val="28"/>
        </w:rPr>
      </w:pPr>
      <w:r>
        <w:rPr>
          <w:rStyle w:val="10"/>
          <w:rFonts w:ascii="宋体" w:hAnsi="宋体" w:eastAsia="仿宋_GB2312"/>
          <w:b/>
          <w:sz w:val="32"/>
          <w:szCs w:val="28"/>
        </w:rPr>
        <w:t>重点勘查</w:t>
      </w:r>
      <w:r>
        <w:rPr>
          <w:rStyle w:val="10"/>
          <w:rFonts w:ascii="宋体" w:hAnsi="宋体" w:eastAsia="仿宋_GB2312" w:cs="Calibri"/>
          <w:bCs/>
          <w:sz w:val="32"/>
          <w:szCs w:val="28"/>
        </w:rPr>
        <w:t>煤炭、金矿等国家、自治区紧缺矿产，地热、矿泉水等清洁资源。</w:t>
      </w:r>
    </w:p>
    <w:p w14:paraId="31A75B6F">
      <w:pPr>
        <w:spacing w:line="360" w:lineRule="auto"/>
        <w:ind w:firstLine="643" w:firstLineChars="200"/>
        <w:rPr>
          <w:rStyle w:val="10"/>
          <w:rFonts w:ascii="宋体" w:hAnsi="宋体" w:eastAsia="仿宋_GB2312" w:cs="Calibri"/>
          <w:bCs/>
          <w:sz w:val="32"/>
          <w:szCs w:val="28"/>
        </w:rPr>
      </w:pPr>
      <w:r>
        <w:rPr>
          <w:rStyle w:val="10"/>
          <w:rFonts w:ascii="宋体" w:hAnsi="宋体" w:eastAsia="仿宋_GB2312"/>
          <w:b/>
          <w:sz w:val="32"/>
          <w:szCs w:val="28"/>
        </w:rPr>
        <w:t>重点开采</w:t>
      </w:r>
      <w:r>
        <w:rPr>
          <w:rStyle w:val="10"/>
          <w:rFonts w:ascii="宋体" w:hAnsi="宋体" w:eastAsia="仿宋_GB2312" w:cs="Calibri"/>
          <w:bCs/>
          <w:sz w:val="32"/>
          <w:szCs w:val="28"/>
        </w:rPr>
        <w:t>煤炭、锗矿等优势矿产。在符合准入条件和生态保护的前提下，最大限度释放煤炭产能，保障能源供应。</w:t>
      </w:r>
    </w:p>
    <w:p w14:paraId="2A6A9EC8">
      <w:pPr>
        <w:spacing w:line="360" w:lineRule="auto"/>
        <w:ind w:firstLine="643" w:firstLineChars="200"/>
        <w:rPr>
          <w:rStyle w:val="10"/>
          <w:rFonts w:ascii="宋体" w:hAnsi="宋体" w:eastAsia="仿宋_GB2312" w:cs="Calibri"/>
          <w:bCs/>
          <w:sz w:val="32"/>
          <w:szCs w:val="28"/>
        </w:rPr>
      </w:pPr>
      <w:r>
        <w:rPr>
          <w:rStyle w:val="10"/>
          <w:rFonts w:ascii="宋体" w:hAnsi="宋体" w:eastAsia="仿宋_GB2312"/>
          <w:b/>
          <w:sz w:val="32"/>
          <w:szCs w:val="28"/>
        </w:rPr>
        <w:t>限制开采</w:t>
      </w:r>
      <w:r>
        <w:rPr>
          <w:rStyle w:val="10"/>
          <w:rFonts w:ascii="宋体" w:hAnsi="宋体" w:eastAsia="仿宋_GB2312" w:cs="Calibri"/>
          <w:bCs/>
          <w:sz w:val="32"/>
          <w:szCs w:val="28"/>
        </w:rPr>
        <w:t>对生态环境影响较大的硫铁矿，钨矿开采按照国家下达的开采总量控制指标生产。</w:t>
      </w:r>
    </w:p>
    <w:p w14:paraId="0641EB29">
      <w:pPr>
        <w:spacing w:line="360" w:lineRule="auto"/>
        <w:ind w:firstLine="643" w:firstLineChars="200"/>
        <w:rPr>
          <w:rStyle w:val="10"/>
          <w:rFonts w:ascii="宋体" w:hAnsi="宋体" w:eastAsia="仿宋_GB2312" w:cs="Calibri"/>
          <w:bCs/>
          <w:sz w:val="32"/>
          <w:szCs w:val="28"/>
        </w:rPr>
      </w:pPr>
      <w:r>
        <w:rPr>
          <w:rStyle w:val="10"/>
          <w:rFonts w:ascii="宋体" w:hAnsi="宋体" w:eastAsia="仿宋_GB2312"/>
          <w:b/>
          <w:sz w:val="32"/>
          <w:szCs w:val="28"/>
        </w:rPr>
        <w:t>禁止开采</w:t>
      </w:r>
      <w:r>
        <w:rPr>
          <w:rStyle w:val="10"/>
          <w:rFonts w:ascii="宋体" w:hAnsi="宋体" w:eastAsia="仿宋_GB2312" w:cs="Calibri"/>
          <w:bCs/>
          <w:sz w:val="32"/>
          <w:szCs w:val="28"/>
        </w:rPr>
        <w:t>砷和放射性等有毒有害物质超过规定标准的煤炭。</w:t>
      </w:r>
    </w:p>
    <w:p w14:paraId="5EDBEDB5">
      <w:pPr>
        <w:pStyle w:val="14"/>
        <w:spacing w:before="312" w:beforeAutospacing="1" w:after="312" w:afterAutospacing="1" w:line="800" w:lineRule="exact"/>
        <w:jc w:val="center"/>
        <w:outlineLvl w:val="1"/>
        <w:rPr>
          <w:rStyle w:val="10"/>
          <w:rFonts w:ascii="宋体" w:hAnsi="宋体" w:eastAsia="仿宋_GB2312"/>
        </w:rPr>
      </w:pPr>
      <w:r>
        <w:rPr>
          <w:rStyle w:val="10"/>
          <w:rFonts w:ascii="宋体" w:hAnsi="宋体" w:eastAsia="仿宋_GB2312"/>
        </w:rPr>
        <w:t>第二节  落实能源资源安全保障</w:t>
      </w:r>
    </w:p>
    <w:p w14:paraId="2FC620BB">
      <w:pPr>
        <w:keepLines/>
        <w:spacing w:after="15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一、能源资源基地</w:t>
      </w:r>
    </w:p>
    <w:p w14:paraId="59F159EA">
      <w:pPr>
        <w:spacing w:line="360" w:lineRule="auto"/>
        <w:ind w:firstLine="540"/>
        <w:rPr>
          <w:rStyle w:val="10"/>
          <w:rFonts w:hint="eastAsia" w:ascii="宋体" w:hAnsi="宋体" w:eastAsia="仿宋_GB2312" w:cs="Calibri"/>
          <w:bCs/>
          <w:sz w:val="32"/>
          <w:szCs w:val="28"/>
          <w:lang w:eastAsia="zh-CN"/>
        </w:rPr>
      </w:pPr>
      <w:r>
        <w:rPr>
          <w:rStyle w:val="10"/>
          <w:rFonts w:eastAsia="仿宋_GB2312"/>
          <w:color w:val="000000"/>
          <w:sz w:val="32"/>
          <w:szCs w:val="32"/>
        </w:rPr>
        <w:t>能源资源基地是提升矿产资源勘查开发规模效应、集聚效应，保障国家矿产资源安全的重要核心区域。</w:t>
      </w:r>
      <w:r>
        <w:rPr>
          <w:rStyle w:val="10"/>
          <w:rFonts w:ascii="宋体" w:hAnsi="宋体" w:eastAsia="仿宋_GB2312" w:cs="Calibri"/>
          <w:bCs/>
          <w:sz w:val="32"/>
          <w:szCs w:val="28"/>
        </w:rPr>
        <w:t>本次落实上级规划划定的能源资源基地</w:t>
      </w:r>
      <w:r>
        <w:rPr>
          <w:rStyle w:val="10"/>
          <w:rFonts w:hint="eastAsia" w:ascii="宋体" w:hAnsi="宋体" w:eastAsia="仿宋_GB2312" w:cs="Calibri"/>
          <w:bCs/>
          <w:sz w:val="32"/>
          <w:szCs w:val="28"/>
          <w:lang w:val="en-US" w:eastAsia="zh-CN"/>
        </w:rPr>
        <w:t xml:space="preserve">  </w:t>
      </w:r>
      <w:r>
        <w:rPr>
          <w:rStyle w:val="10"/>
          <w:rFonts w:ascii="宋体" w:hAnsi="宋体" w:eastAsia="仿宋_GB2312" w:cs="Calibri"/>
          <w:bCs/>
          <w:sz w:val="32"/>
          <w:szCs w:val="28"/>
        </w:rPr>
        <w:t>处</w:t>
      </w:r>
      <w:r>
        <w:rPr>
          <w:rStyle w:val="10"/>
          <w:rFonts w:hint="eastAsia" w:ascii="宋体" w:hAnsi="宋体" w:eastAsia="仿宋_GB2312" w:cs="Calibri"/>
          <w:bCs/>
          <w:sz w:val="32"/>
          <w:szCs w:val="28"/>
          <w:lang w:eastAsia="zh-CN"/>
        </w:rPr>
        <w:t>。</w:t>
      </w:r>
    </w:p>
    <w:p w14:paraId="77F199AF">
      <w:pPr>
        <w:spacing w:line="360" w:lineRule="auto"/>
        <w:ind w:firstLine="540"/>
        <w:rPr>
          <w:rStyle w:val="10"/>
          <w:rFonts w:ascii="宋体" w:hAnsi="宋体" w:eastAsia="仿宋_GB2312" w:cs="Calibri"/>
          <w:bCs/>
          <w:sz w:val="32"/>
          <w:szCs w:val="28"/>
        </w:rPr>
      </w:pPr>
    </w:p>
    <w:p w14:paraId="40F55334">
      <w:pPr>
        <w:spacing w:line="360" w:lineRule="auto"/>
        <w:ind w:firstLine="540"/>
        <w:rPr>
          <w:rStyle w:val="10"/>
          <w:rFonts w:ascii="宋体" w:hAnsi="宋体" w:eastAsia="仿宋_GB2312" w:cs="Calibri"/>
          <w:bCs/>
          <w:sz w:val="32"/>
          <w:szCs w:val="28"/>
        </w:rPr>
      </w:pPr>
      <w:r>
        <w:rPr>
          <w:rStyle w:val="10"/>
          <w:rFonts w:ascii="宋体" w:hAnsi="宋体" w:eastAsia="仿宋_GB2312" w:cs="Calibri"/>
          <w:bCs/>
          <w:sz w:val="32"/>
          <w:szCs w:val="28"/>
        </w:rPr>
        <w:t>积极做好能源资源基地内生产要素和资源配置，在生产力布局、基础设施建设、重大项目安排及相关产业政策方面给予重点支持和保障，确保煤炭稳定供给。大力推进煤炭清洁高效利用，鼓励条件适宜的生产煤矿，采用先进技术装备和现代管理理念，简化生产系统，降低生产能耗，全面改造提升技术水平、生产效率，尽快发展成为优质产能。</w:t>
      </w:r>
    </w:p>
    <w:p w14:paraId="08DF1D3D">
      <w:pPr>
        <w:keepLines/>
        <w:spacing w:before="36" w:after="3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二、国家规划矿区</w:t>
      </w:r>
    </w:p>
    <w:p w14:paraId="41FD5606">
      <w:pPr>
        <w:spacing w:line="360" w:lineRule="auto"/>
        <w:ind w:firstLine="540"/>
        <w:rPr>
          <w:rStyle w:val="10"/>
          <w:rFonts w:ascii="宋体" w:hAnsi="宋体" w:eastAsia="仿宋_GB2312" w:cs="Calibri"/>
          <w:bCs/>
          <w:sz w:val="32"/>
          <w:szCs w:val="28"/>
        </w:rPr>
      </w:pPr>
      <w:r>
        <w:rPr>
          <w:rStyle w:val="10"/>
          <w:rFonts w:ascii="宋体" w:hAnsi="宋体" w:eastAsia="仿宋_GB2312" w:cs="Calibri"/>
          <w:bCs/>
          <w:sz w:val="32"/>
          <w:szCs w:val="28"/>
        </w:rPr>
        <w:t>国家规划矿区是能够为能源资源基地建设提供支撑保障的地区，本次落实上级规划划定的国家规划矿区</w:t>
      </w:r>
      <w:r>
        <w:rPr>
          <w:rStyle w:val="10"/>
          <w:rFonts w:hint="eastAsia" w:ascii="宋体" w:hAnsi="宋体" w:eastAsia="仿宋_GB2312" w:cs="Calibri"/>
          <w:bCs/>
          <w:sz w:val="32"/>
          <w:szCs w:val="28"/>
          <w:lang w:val="en-US" w:eastAsia="zh-CN"/>
        </w:rPr>
        <w:t xml:space="preserve">  </w:t>
      </w:r>
      <w:r>
        <w:rPr>
          <w:rStyle w:val="10"/>
          <w:rFonts w:ascii="宋体" w:hAnsi="宋体" w:eastAsia="仿宋_GB2312" w:cs="Calibri"/>
          <w:bCs/>
          <w:sz w:val="32"/>
          <w:szCs w:val="28"/>
        </w:rPr>
        <w:t>处，面积</w:t>
      </w:r>
      <w:r>
        <w:rPr>
          <w:rStyle w:val="10"/>
          <w:rFonts w:hint="eastAsia" w:ascii="宋体" w:hAnsi="宋体" w:eastAsia="仿宋_GB2312" w:cs="Calibri"/>
          <w:bCs/>
          <w:sz w:val="32"/>
          <w:szCs w:val="28"/>
          <w:lang w:val="en-US" w:eastAsia="zh-CN"/>
        </w:rPr>
        <w:t xml:space="preserve">  </w:t>
      </w:r>
      <w:r>
        <w:rPr>
          <w:rStyle w:val="10"/>
          <w:rFonts w:ascii="宋体" w:hAnsi="宋体" w:eastAsia="仿宋_GB2312" w:cs="Calibri"/>
          <w:bCs/>
          <w:sz w:val="32"/>
          <w:szCs w:val="28"/>
        </w:rPr>
        <w:t>平方千米。</w:t>
      </w:r>
    </w:p>
    <w:p w14:paraId="57402557">
      <w:pPr>
        <w:spacing w:line="360" w:lineRule="auto"/>
        <w:ind w:firstLine="540"/>
        <w:rPr>
          <w:rStyle w:val="10"/>
          <w:rFonts w:ascii="宋体" w:hAnsi="宋体" w:eastAsia="仿宋_GB2312" w:cs="Calibri"/>
          <w:bCs/>
          <w:sz w:val="32"/>
          <w:szCs w:val="28"/>
        </w:rPr>
      </w:pPr>
      <w:r>
        <w:rPr>
          <w:rStyle w:val="10"/>
          <w:rFonts w:ascii="宋体" w:hAnsi="宋体" w:eastAsia="仿宋_GB2312" w:cs="Calibri"/>
          <w:bCs/>
          <w:sz w:val="32"/>
          <w:szCs w:val="28"/>
        </w:rPr>
        <w:t>推动国家规划矿区内矿产资源绿色勘查开发，积极做好生产要素和资源配置。充分利用矿区内大中型矿产地相对集中、资源丰富且找矿潜力大、产业基础较好和资源环境承载能力较强等条件，积极争取国家和自治区政策支持和资金投入，引导和支持矿山企业走集约化、规模化经营之路，打造新型现代化资源高效利用示范区。同时，拉动社会资金投入，推进大中型矿山外围及深部找矿，增加资源储量。</w:t>
      </w:r>
    </w:p>
    <w:p w14:paraId="719D7115">
      <w:pPr>
        <w:keepLines/>
        <w:spacing w:before="156" w:after="15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三、矿产资源保护区</w:t>
      </w:r>
    </w:p>
    <w:p w14:paraId="7C587984">
      <w:pPr>
        <w:spacing w:line="360" w:lineRule="auto"/>
        <w:ind w:firstLine="540"/>
        <w:rPr>
          <w:rStyle w:val="10"/>
          <w:rFonts w:hAnsi="宋体" w:eastAsia="仿宋_GB2312" w:cs="Calibri"/>
          <w:bCs/>
          <w:sz w:val="32"/>
          <w:szCs w:val="28"/>
        </w:rPr>
      </w:pPr>
      <w:r>
        <w:rPr>
          <w:rStyle w:val="10"/>
          <w:rFonts w:eastAsia="仿宋_GB2312"/>
          <w:color w:val="000000"/>
          <w:sz w:val="32"/>
          <w:szCs w:val="32"/>
        </w:rPr>
        <w:t>矿产资源保护区是落实国家矿产资源储备要求，进行储备保护的区域，本次共落实上级规划划定的矿产资源保护区</w:t>
      </w:r>
      <w:r>
        <w:rPr>
          <w:rStyle w:val="10"/>
          <w:rFonts w:hint="eastAsia" w:hAnsi="宋体" w:eastAsia="仿宋_GB2312" w:cs="Calibri"/>
          <w:bCs/>
          <w:sz w:val="32"/>
          <w:szCs w:val="28"/>
          <w:lang w:val="en-US" w:eastAsia="zh-CN"/>
        </w:rPr>
        <w:t xml:space="preserve">  </w:t>
      </w:r>
      <w:r>
        <w:rPr>
          <w:rStyle w:val="10"/>
          <w:rFonts w:hAnsi="宋体" w:eastAsia="仿宋_GB2312" w:cs="Calibri"/>
          <w:bCs/>
          <w:sz w:val="32"/>
          <w:szCs w:val="28"/>
        </w:rPr>
        <w:t>处，总面积为</w:t>
      </w:r>
      <w:r>
        <w:rPr>
          <w:rStyle w:val="10"/>
          <w:rFonts w:hint="eastAsia" w:hAnsi="宋体" w:eastAsia="仿宋_GB2312" w:cs="Calibri"/>
          <w:bCs/>
          <w:sz w:val="32"/>
          <w:szCs w:val="28"/>
          <w:lang w:val="en-US" w:eastAsia="zh-CN"/>
        </w:rPr>
        <w:t xml:space="preserve">  </w:t>
      </w:r>
      <w:r>
        <w:rPr>
          <w:rStyle w:val="10"/>
          <w:rFonts w:hAnsi="宋体" w:eastAsia="仿宋_GB2312" w:cs="Calibri"/>
          <w:bCs/>
          <w:sz w:val="32"/>
          <w:szCs w:val="28"/>
        </w:rPr>
        <w:t>平方千米。</w:t>
      </w:r>
    </w:p>
    <w:p w14:paraId="12C38BF7">
      <w:pPr>
        <w:spacing w:line="360" w:lineRule="auto"/>
        <w:ind w:firstLine="540"/>
        <w:rPr>
          <w:rStyle w:val="10"/>
          <w:rFonts w:hAnsi="宋体" w:eastAsia="仿宋_GB2312" w:cs="Calibri"/>
          <w:bCs/>
          <w:sz w:val="32"/>
          <w:szCs w:val="28"/>
        </w:rPr>
      </w:pPr>
    </w:p>
    <w:p w14:paraId="643F129A">
      <w:pPr>
        <w:spacing w:line="360" w:lineRule="auto"/>
        <w:ind w:firstLine="540"/>
        <w:rPr>
          <w:rStyle w:val="10"/>
          <w:rFonts w:hAnsi="宋体" w:eastAsia="仿宋_GB2312" w:cs="Calibri"/>
          <w:bCs/>
          <w:sz w:val="32"/>
          <w:szCs w:val="28"/>
        </w:rPr>
      </w:pPr>
      <w:r>
        <w:rPr>
          <w:rStyle w:val="10"/>
          <w:rFonts w:hAnsi="宋体" w:eastAsia="仿宋_GB2312" w:cs="Calibri"/>
          <w:bCs/>
          <w:sz w:val="32"/>
          <w:szCs w:val="28"/>
        </w:rPr>
        <w:t>严格储备矿产地的保护和监管，防止资源被压覆或破坏。建立储备矿产地的动态调整机制，根据经济社会发展及外部条件变化</w:t>
      </w:r>
      <w:r>
        <w:rPr>
          <w:rStyle w:val="10"/>
          <w:rFonts w:eastAsia="仿宋_GB2312"/>
          <w:color w:val="000000"/>
          <w:sz w:val="32"/>
          <w:szCs w:val="32"/>
        </w:rPr>
        <w:t>进行动态调整</w:t>
      </w:r>
      <w:r>
        <w:rPr>
          <w:rStyle w:val="10"/>
          <w:rFonts w:hAnsi="宋体" w:eastAsia="仿宋_GB2312" w:cs="Calibri"/>
          <w:bCs/>
          <w:sz w:val="32"/>
          <w:szCs w:val="28"/>
        </w:rPr>
        <w:t>。储备的矿产地经严格论证和有关部门批准后，由国家或自治区进行统一规划、科学合理开发。</w:t>
      </w:r>
    </w:p>
    <w:p w14:paraId="784A41D0">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第三节  建筑用砂石土集中开采区</w:t>
      </w:r>
    </w:p>
    <w:p w14:paraId="67C9582E">
      <w:pPr>
        <w:spacing w:line="360" w:lineRule="auto"/>
        <w:ind w:firstLine="640" w:firstLineChars="200"/>
        <w:rPr>
          <w:rStyle w:val="10"/>
          <w:rFonts w:ascii="仿宋_GB2312" w:hAnsi="宋体" w:eastAsia="仿宋_GB2312"/>
          <w:b/>
          <w:sz w:val="28"/>
          <w:szCs w:val="28"/>
        </w:rPr>
      </w:pPr>
      <w:r>
        <w:rPr>
          <w:rStyle w:val="10"/>
          <w:rFonts w:ascii="宋体" w:hAnsi="宋体" w:eastAsia="仿宋_GB2312" w:cs="Calibri"/>
          <w:bCs/>
          <w:kern w:val="0"/>
          <w:sz w:val="32"/>
          <w:szCs w:val="28"/>
        </w:rPr>
        <w:t>集中开采区是为引导普通建筑用砂石土矿实现集中开采、规模开发的区域，本次落实上级规划划定的普通建筑用砂石矿集中开采区3处，</w:t>
      </w:r>
      <w:r>
        <w:rPr>
          <w:rStyle w:val="10"/>
          <w:rFonts w:ascii="仿宋_GB2312" w:eastAsia="仿宋_GB2312"/>
          <w:sz w:val="32"/>
          <w:szCs w:val="28"/>
        </w:rPr>
        <w:t>总面积</w:t>
      </w:r>
      <w:r>
        <w:rPr>
          <w:rStyle w:val="10"/>
          <w:rFonts w:ascii="宋体" w:hAnsi="宋体" w:eastAsia="仿宋_GB2312" w:cs="Calibri"/>
          <w:bCs/>
          <w:kern w:val="0"/>
          <w:sz w:val="32"/>
          <w:szCs w:val="28"/>
        </w:rPr>
        <w:t>8.15</w:t>
      </w:r>
      <w:r>
        <w:rPr>
          <w:rStyle w:val="10"/>
          <w:rFonts w:ascii="仿宋_GB2312" w:eastAsia="仿宋_GB2312"/>
          <w:sz w:val="32"/>
          <w:szCs w:val="28"/>
        </w:rPr>
        <w:t>平方千米</w:t>
      </w:r>
      <w:r>
        <w:rPr>
          <w:rStyle w:val="10"/>
          <w:rFonts w:ascii="宋体" w:hAnsi="宋体" w:eastAsia="仿宋_GB2312" w:cs="Calibri"/>
          <w:bCs/>
          <w:kern w:val="0"/>
          <w:sz w:val="32"/>
          <w:szCs w:val="28"/>
        </w:rPr>
        <w:t>。</w:t>
      </w:r>
    </w:p>
    <w:p w14:paraId="084FCA8B">
      <w:pPr>
        <w:spacing w:line="360" w:lineRule="auto"/>
        <w:ind w:firstLine="562" w:firstLineChars="200"/>
        <w:jc w:val="center"/>
        <w:rPr>
          <w:rStyle w:val="10"/>
          <w:rFonts w:ascii="仿宋_GB2312" w:hAnsi="宋体" w:eastAsia="仿宋_GB2312"/>
          <w:b/>
          <w:sz w:val="28"/>
          <w:szCs w:val="28"/>
        </w:rPr>
      </w:pPr>
      <w:r>
        <w:rPr>
          <w:rStyle w:val="10"/>
          <w:rFonts w:ascii="仿宋_GB2312" w:hAnsi="宋体" w:eastAsia="仿宋_GB2312"/>
          <w:b/>
          <w:sz w:val="28"/>
          <w:szCs w:val="28"/>
        </w:rPr>
        <w:t>专栏5  集中开采区</w:t>
      </w:r>
    </w:p>
    <w:tbl>
      <w:tblPr>
        <w:tblStyle w:val="7"/>
        <w:tblW w:w="82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0"/>
        <w:gridCol w:w="4651"/>
        <w:gridCol w:w="1332"/>
        <w:gridCol w:w="1417"/>
      </w:tblGrid>
      <w:tr w14:paraId="7503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8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2D0F775">
            <w:pPr>
              <w:snapToGrid w:val="0"/>
              <w:jc w:val="center"/>
              <w:rPr>
                <w:rStyle w:val="10"/>
                <w:rFonts w:ascii="仿宋_GB2312" w:hAnsi="宋体" w:eastAsia="仿宋_GB2312" w:cs="宋体"/>
                <w:b/>
                <w:bCs/>
                <w:kern w:val="0"/>
                <w:sz w:val="24"/>
              </w:rPr>
            </w:pPr>
            <w:r>
              <w:rPr>
                <w:rStyle w:val="10"/>
                <w:rFonts w:ascii="仿宋_GB2312" w:hAnsi="宋体" w:eastAsia="仿宋_GB2312" w:cs="宋体"/>
                <w:b/>
                <w:bCs/>
                <w:kern w:val="0"/>
                <w:sz w:val="24"/>
              </w:rPr>
              <w:t>序号</w:t>
            </w:r>
          </w:p>
        </w:tc>
        <w:tc>
          <w:tcPr>
            <w:tcW w:w="465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332E72D">
            <w:pPr>
              <w:snapToGrid w:val="0"/>
              <w:jc w:val="center"/>
              <w:rPr>
                <w:rStyle w:val="10"/>
                <w:rFonts w:ascii="仿宋_GB2312" w:hAnsi="宋体" w:eastAsia="仿宋_GB2312" w:cs="宋体"/>
                <w:b/>
                <w:bCs/>
                <w:kern w:val="0"/>
                <w:sz w:val="24"/>
              </w:rPr>
            </w:pPr>
            <w:r>
              <w:rPr>
                <w:rStyle w:val="10"/>
                <w:rFonts w:ascii="仿宋_GB2312" w:hAnsi="宋体" w:eastAsia="仿宋_GB2312" w:cs="宋体"/>
                <w:b/>
                <w:bCs/>
                <w:kern w:val="0"/>
                <w:sz w:val="24"/>
              </w:rPr>
              <w:t>名    称</w:t>
            </w:r>
          </w:p>
        </w:tc>
        <w:tc>
          <w:tcPr>
            <w:tcW w:w="133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CD98E59">
            <w:pPr>
              <w:snapToGrid w:val="0"/>
              <w:jc w:val="center"/>
              <w:rPr>
                <w:rStyle w:val="10"/>
                <w:rFonts w:ascii="仿宋_GB2312" w:hAnsi="宋体" w:eastAsia="仿宋_GB2312"/>
                <w:b/>
                <w:kern w:val="0"/>
                <w:sz w:val="24"/>
              </w:rPr>
            </w:pPr>
            <w:r>
              <w:rPr>
                <w:rStyle w:val="10"/>
                <w:rFonts w:ascii="仿宋_GB2312" w:hAnsi="宋体" w:eastAsia="仿宋_GB2312"/>
                <w:b/>
                <w:kern w:val="0"/>
                <w:sz w:val="24"/>
              </w:rPr>
              <w:t>面积</w:t>
            </w:r>
          </w:p>
          <w:p w14:paraId="77C69C86">
            <w:pPr>
              <w:snapToGrid w:val="0"/>
              <w:jc w:val="center"/>
              <w:rPr>
                <w:rStyle w:val="10"/>
                <w:rFonts w:ascii="仿宋_GB2312" w:hAnsi="宋体" w:eastAsia="仿宋_GB2312"/>
                <w:b/>
                <w:kern w:val="0"/>
                <w:sz w:val="24"/>
              </w:rPr>
            </w:pPr>
            <w:r>
              <w:rPr>
                <w:rStyle w:val="10"/>
                <w:rFonts w:ascii="仿宋_GB2312" w:hAnsi="宋体" w:eastAsia="仿宋_GB2312"/>
                <w:b/>
                <w:kern w:val="0"/>
                <w:sz w:val="24"/>
              </w:rPr>
              <w:t>(平方千米)</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14:paraId="05763A5E">
            <w:pPr>
              <w:snapToGrid w:val="0"/>
              <w:jc w:val="center"/>
              <w:rPr>
                <w:rStyle w:val="10"/>
                <w:rFonts w:ascii="仿宋_GB2312" w:hAnsi="宋体" w:eastAsia="仿宋_GB2312"/>
                <w:b/>
                <w:kern w:val="0"/>
                <w:sz w:val="24"/>
              </w:rPr>
            </w:pPr>
            <w:r>
              <w:rPr>
                <w:rStyle w:val="10"/>
                <w:rFonts w:ascii="仿宋_GB2312" w:hAnsi="宋体" w:eastAsia="仿宋_GB2312"/>
                <w:b/>
                <w:kern w:val="0"/>
                <w:sz w:val="24"/>
              </w:rPr>
              <w:t>已有采矿权</w:t>
            </w:r>
          </w:p>
          <w:p w14:paraId="59A21726">
            <w:pPr>
              <w:snapToGrid w:val="0"/>
              <w:jc w:val="center"/>
              <w:rPr>
                <w:rStyle w:val="10"/>
                <w:rFonts w:ascii="仿宋_GB2312" w:hAnsi="宋体" w:eastAsia="仿宋_GB2312"/>
                <w:b/>
                <w:kern w:val="0"/>
                <w:sz w:val="24"/>
              </w:rPr>
            </w:pPr>
            <w:r>
              <w:rPr>
                <w:rStyle w:val="10"/>
                <w:rFonts w:ascii="仿宋_GB2312" w:hAnsi="宋体" w:eastAsia="仿宋_GB2312"/>
                <w:b/>
                <w:kern w:val="0"/>
                <w:sz w:val="24"/>
              </w:rPr>
              <w:t>数量（个）</w:t>
            </w:r>
          </w:p>
        </w:tc>
      </w:tr>
      <w:tr w14:paraId="746EA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310EDFCD">
            <w:pPr>
              <w:snapToGrid w:val="0"/>
              <w:jc w:val="center"/>
              <w:rPr>
                <w:rStyle w:val="10"/>
                <w:rFonts w:ascii="仿宋_GB2312" w:hAnsi="宋体" w:eastAsia="仿宋_GB2312"/>
                <w:kern w:val="0"/>
                <w:sz w:val="24"/>
              </w:rPr>
            </w:pPr>
            <w:r>
              <w:rPr>
                <w:rStyle w:val="10"/>
                <w:rFonts w:ascii="仿宋_GB2312" w:hAnsi="宋体" w:eastAsia="仿宋_GB2312"/>
                <w:kern w:val="0"/>
                <w:sz w:val="24"/>
              </w:rPr>
              <w:t>1</w:t>
            </w:r>
          </w:p>
        </w:tc>
        <w:tc>
          <w:tcPr>
            <w:tcW w:w="4651" w:type="dxa"/>
            <w:tcBorders>
              <w:top w:val="single" w:color="000000" w:sz="4" w:space="0"/>
              <w:left w:val="single" w:color="000000" w:sz="4" w:space="0"/>
              <w:bottom w:val="single" w:color="000000" w:sz="4" w:space="0"/>
              <w:right w:val="single" w:color="000000" w:sz="4" w:space="0"/>
            </w:tcBorders>
            <w:vAlign w:val="center"/>
          </w:tcPr>
          <w:p w14:paraId="5A8D9778">
            <w:pPr>
              <w:snapToGrid w:val="0"/>
              <w:rPr>
                <w:rStyle w:val="10"/>
                <w:rFonts w:ascii="仿宋_GB2312" w:hAnsi="宋体" w:eastAsia="仿宋_GB2312"/>
                <w:sz w:val="24"/>
              </w:rPr>
            </w:pPr>
            <w:r>
              <w:rPr>
                <w:rStyle w:val="10"/>
                <w:rFonts w:ascii="仿宋_GB2312" w:hAnsi="宋体" w:eastAsia="仿宋_GB2312"/>
                <w:sz w:val="24"/>
              </w:rPr>
              <w:t>宝力根苏木建筑用砂石矿集中开采区</w:t>
            </w:r>
          </w:p>
        </w:tc>
        <w:tc>
          <w:tcPr>
            <w:tcW w:w="1332" w:type="dxa"/>
            <w:tcBorders>
              <w:top w:val="single" w:color="000000" w:sz="4" w:space="0"/>
              <w:left w:val="single" w:color="000000" w:sz="4" w:space="0"/>
              <w:bottom w:val="single" w:color="000000" w:sz="4" w:space="0"/>
              <w:right w:val="single" w:color="000000" w:sz="4" w:space="0"/>
            </w:tcBorders>
            <w:vAlign w:val="center"/>
          </w:tcPr>
          <w:p w14:paraId="282535D2">
            <w:pPr>
              <w:jc w:val="center"/>
              <w:rPr>
                <w:rStyle w:val="10"/>
                <w:rFonts w:ascii="仿宋_GB2312" w:hAnsi="宋体" w:eastAsia="仿宋_GB2312"/>
                <w:sz w:val="24"/>
              </w:rPr>
            </w:pPr>
            <w:r>
              <w:rPr>
                <w:rStyle w:val="10"/>
                <w:rFonts w:ascii="仿宋_GB2312" w:hAnsi="宋体" w:eastAsia="仿宋_GB2312"/>
                <w:sz w:val="24"/>
              </w:rPr>
              <w:t>1.96</w:t>
            </w:r>
          </w:p>
        </w:tc>
        <w:tc>
          <w:tcPr>
            <w:tcW w:w="1417" w:type="dxa"/>
            <w:tcBorders>
              <w:top w:val="single" w:color="000000" w:sz="4" w:space="0"/>
              <w:left w:val="single" w:color="000000" w:sz="4" w:space="0"/>
              <w:bottom w:val="single" w:color="000000" w:sz="4" w:space="0"/>
              <w:right w:val="single" w:color="000000" w:sz="4" w:space="0"/>
            </w:tcBorders>
            <w:vAlign w:val="center"/>
          </w:tcPr>
          <w:p w14:paraId="2E315756">
            <w:pPr>
              <w:snapToGrid w:val="0"/>
              <w:jc w:val="center"/>
              <w:rPr>
                <w:rStyle w:val="10"/>
                <w:rFonts w:ascii="仿宋_GB2312" w:hAnsi="宋体" w:eastAsia="仿宋_GB2312"/>
                <w:sz w:val="24"/>
              </w:rPr>
            </w:pPr>
            <w:r>
              <w:rPr>
                <w:rStyle w:val="10"/>
                <w:rFonts w:ascii="仿宋_GB2312" w:hAnsi="宋体" w:eastAsia="仿宋_GB2312"/>
                <w:sz w:val="24"/>
              </w:rPr>
              <w:t>1</w:t>
            </w:r>
          </w:p>
        </w:tc>
      </w:tr>
      <w:tr w14:paraId="5F8AB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15215111">
            <w:pPr>
              <w:snapToGrid w:val="0"/>
              <w:jc w:val="center"/>
              <w:rPr>
                <w:rStyle w:val="10"/>
                <w:rFonts w:ascii="仿宋_GB2312" w:hAnsi="宋体" w:eastAsia="仿宋_GB2312"/>
                <w:kern w:val="0"/>
                <w:sz w:val="24"/>
              </w:rPr>
            </w:pPr>
            <w:r>
              <w:rPr>
                <w:rStyle w:val="10"/>
                <w:rFonts w:ascii="仿宋_GB2312" w:hAnsi="宋体" w:eastAsia="仿宋_GB2312"/>
                <w:kern w:val="0"/>
                <w:sz w:val="24"/>
              </w:rPr>
              <w:t>2</w:t>
            </w:r>
          </w:p>
        </w:tc>
        <w:tc>
          <w:tcPr>
            <w:tcW w:w="4651" w:type="dxa"/>
            <w:tcBorders>
              <w:top w:val="single" w:color="000000" w:sz="4" w:space="0"/>
              <w:left w:val="single" w:color="000000" w:sz="4" w:space="0"/>
              <w:bottom w:val="single" w:color="000000" w:sz="4" w:space="0"/>
              <w:right w:val="single" w:color="000000" w:sz="4" w:space="0"/>
            </w:tcBorders>
            <w:vAlign w:val="center"/>
          </w:tcPr>
          <w:p w14:paraId="57F1F0E5">
            <w:pPr>
              <w:snapToGrid w:val="0"/>
              <w:rPr>
                <w:rStyle w:val="10"/>
                <w:rFonts w:ascii="仿宋_GB2312" w:hAnsi="宋体" w:eastAsia="仿宋_GB2312"/>
                <w:sz w:val="24"/>
              </w:rPr>
            </w:pPr>
            <w:r>
              <w:rPr>
                <w:rStyle w:val="10"/>
                <w:rFonts w:ascii="仿宋_GB2312" w:hAnsi="宋体" w:eastAsia="仿宋_GB2312"/>
                <w:sz w:val="24"/>
              </w:rPr>
              <w:t>巴彦宝力格苏木建筑用砂石矿集中开采区</w:t>
            </w:r>
          </w:p>
        </w:tc>
        <w:tc>
          <w:tcPr>
            <w:tcW w:w="1332" w:type="dxa"/>
            <w:tcBorders>
              <w:top w:val="single" w:color="000000" w:sz="4" w:space="0"/>
              <w:left w:val="single" w:color="000000" w:sz="4" w:space="0"/>
              <w:bottom w:val="single" w:color="000000" w:sz="4" w:space="0"/>
              <w:right w:val="single" w:color="000000" w:sz="4" w:space="0"/>
            </w:tcBorders>
            <w:vAlign w:val="center"/>
          </w:tcPr>
          <w:p w14:paraId="72DE9918">
            <w:pPr>
              <w:jc w:val="center"/>
              <w:rPr>
                <w:rStyle w:val="10"/>
                <w:rFonts w:ascii="仿宋_GB2312" w:hAnsi="宋体" w:eastAsia="仿宋_GB2312"/>
                <w:sz w:val="24"/>
              </w:rPr>
            </w:pPr>
            <w:r>
              <w:rPr>
                <w:rStyle w:val="10"/>
                <w:rFonts w:ascii="仿宋_GB2312" w:hAnsi="宋体" w:eastAsia="仿宋_GB2312"/>
                <w:sz w:val="24"/>
              </w:rPr>
              <w:t>2.19</w:t>
            </w:r>
          </w:p>
        </w:tc>
        <w:tc>
          <w:tcPr>
            <w:tcW w:w="1417" w:type="dxa"/>
            <w:tcBorders>
              <w:top w:val="single" w:color="000000" w:sz="4" w:space="0"/>
              <w:left w:val="single" w:color="000000" w:sz="4" w:space="0"/>
              <w:bottom w:val="single" w:color="000000" w:sz="4" w:space="0"/>
              <w:right w:val="single" w:color="000000" w:sz="4" w:space="0"/>
            </w:tcBorders>
            <w:vAlign w:val="center"/>
          </w:tcPr>
          <w:p w14:paraId="45284737">
            <w:pPr>
              <w:snapToGrid w:val="0"/>
              <w:jc w:val="center"/>
              <w:rPr>
                <w:rStyle w:val="10"/>
                <w:rFonts w:ascii="仿宋_GB2312" w:hAnsi="宋体" w:eastAsia="仿宋_GB2312"/>
                <w:sz w:val="24"/>
              </w:rPr>
            </w:pPr>
            <w:r>
              <w:rPr>
                <w:rStyle w:val="10"/>
                <w:rFonts w:ascii="仿宋_GB2312" w:hAnsi="宋体" w:eastAsia="仿宋_GB2312"/>
                <w:sz w:val="24"/>
              </w:rPr>
              <w:t>0</w:t>
            </w:r>
          </w:p>
        </w:tc>
      </w:tr>
      <w:tr w14:paraId="5CC4C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4DAC44A0">
            <w:pPr>
              <w:snapToGrid w:val="0"/>
              <w:jc w:val="center"/>
              <w:rPr>
                <w:rStyle w:val="10"/>
                <w:rFonts w:ascii="仿宋_GB2312" w:hAnsi="宋体" w:eastAsia="仿宋_GB2312"/>
                <w:kern w:val="0"/>
                <w:sz w:val="24"/>
              </w:rPr>
            </w:pPr>
            <w:r>
              <w:rPr>
                <w:rStyle w:val="10"/>
                <w:rFonts w:ascii="仿宋_GB2312" w:hAnsi="宋体" w:eastAsia="仿宋_GB2312"/>
                <w:kern w:val="0"/>
                <w:sz w:val="24"/>
              </w:rPr>
              <w:t>3</w:t>
            </w:r>
          </w:p>
        </w:tc>
        <w:tc>
          <w:tcPr>
            <w:tcW w:w="4651" w:type="dxa"/>
            <w:tcBorders>
              <w:top w:val="single" w:color="000000" w:sz="4" w:space="0"/>
              <w:left w:val="single" w:color="000000" w:sz="4" w:space="0"/>
              <w:bottom w:val="single" w:color="000000" w:sz="4" w:space="0"/>
              <w:right w:val="single" w:color="000000" w:sz="4" w:space="0"/>
            </w:tcBorders>
            <w:vAlign w:val="center"/>
          </w:tcPr>
          <w:p w14:paraId="561DBC6A">
            <w:pPr>
              <w:snapToGrid w:val="0"/>
              <w:rPr>
                <w:rStyle w:val="10"/>
                <w:rFonts w:ascii="仿宋_GB2312" w:hAnsi="宋体" w:eastAsia="仿宋_GB2312"/>
                <w:sz w:val="24"/>
              </w:rPr>
            </w:pPr>
            <w:r>
              <w:rPr>
                <w:rStyle w:val="10"/>
                <w:rFonts w:ascii="仿宋_GB2312" w:eastAsia="仿宋_GB2312"/>
                <w:sz w:val="24"/>
              </w:rPr>
              <w:t>巴彦高勒嘎查建筑用砂石矿集中开采区</w:t>
            </w:r>
          </w:p>
        </w:tc>
        <w:tc>
          <w:tcPr>
            <w:tcW w:w="1332" w:type="dxa"/>
            <w:tcBorders>
              <w:top w:val="single" w:color="000000" w:sz="4" w:space="0"/>
              <w:left w:val="single" w:color="000000" w:sz="4" w:space="0"/>
              <w:bottom w:val="single" w:color="000000" w:sz="4" w:space="0"/>
              <w:right w:val="single" w:color="000000" w:sz="4" w:space="0"/>
            </w:tcBorders>
            <w:vAlign w:val="center"/>
          </w:tcPr>
          <w:p w14:paraId="6EBF5F0F">
            <w:pPr>
              <w:jc w:val="center"/>
              <w:rPr>
                <w:rStyle w:val="10"/>
                <w:rFonts w:ascii="仿宋_GB2312" w:hAnsi="宋体" w:eastAsia="仿宋_GB2312"/>
                <w:sz w:val="24"/>
              </w:rPr>
            </w:pPr>
            <w:r>
              <w:rPr>
                <w:rStyle w:val="10"/>
                <w:rFonts w:ascii="仿宋_GB2312" w:hAnsi="宋体" w:eastAsia="仿宋_GB2312"/>
                <w:sz w:val="24"/>
              </w:rPr>
              <w:t>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748635D">
            <w:pPr>
              <w:snapToGrid w:val="0"/>
              <w:jc w:val="center"/>
              <w:rPr>
                <w:rStyle w:val="10"/>
                <w:rFonts w:ascii="仿宋_GB2312" w:hAnsi="宋体" w:eastAsia="仿宋_GB2312"/>
                <w:sz w:val="24"/>
              </w:rPr>
            </w:pPr>
            <w:r>
              <w:rPr>
                <w:rStyle w:val="10"/>
                <w:rFonts w:ascii="仿宋_GB2312" w:hAnsi="宋体" w:eastAsia="仿宋_GB2312"/>
                <w:sz w:val="24"/>
              </w:rPr>
              <w:t>0</w:t>
            </w:r>
          </w:p>
        </w:tc>
      </w:tr>
    </w:tbl>
    <w:p w14:paraId="14866F62">
      <w:pPr>
        <w:spacing w:line="360" w:lineRule="auto"/>
        <w:rPr>
          <w:rStyle w:val="10"/>
          <w:rFonts w:ascii="宋体" w:hAnsi="宋体" w:eastAsia="仿宋_GB2312" w:cs="Calibri"/>
          <w:bCs/>
          <w:kern w:val="0"/>
          <w:sz w:val="32"/>
          <w:szCs w:val="28"/>
        </w:rPr>
      </w:pPr>
    </w:p>
    <w:p w14:paraId="4E47A9D1">
      <w:pPr>
        <w:pStyle w:val="48"/>
        <w:snapToGrid w:val="0"/>
        <w:spacing w:line="360" w:lineRule="auto"/>
        <w:ind w:firstLine="640" w:firstLineChars="200"/>
        <w:rPr>
          <w:rStyle w:val="10"/>
          <w:rFonts w:eastAsia="仿宋_GB2312"/>
          <w:color w:val="000000"/>
          <w:sz w:val="32"/>
          <w:szCs w:val="32"/>
        </w:rPr>
      </w:pPr>
      <w:r>
        <w:rPr>
          <w:rStyle w:val="10"/>
          <w:rFonts w:hAnsi="宋体" w:eastAsia="仿宋_GB2312" w:cs="宋体"/>
          <w:bCs/>
          <w:sz w:val="32"/>
          <w:szCs w:val="28"/>
        </w:rPr>
        <w:t>原则上新设建筑用砂石土矿采矿权须位于集中开采区内，</w:t>
      </w:r>
      <w:r>
        <w:rPr>
          <w:rStyle w:val="10"/>
          <w:rFonts w:ascii="Times New Roman" w:eastAsia="仿宋_GB2312"/>
          <w:color w:val="000000"/>
          <w:sz w:val="32"/>
          <w:szCs w:val="32"/>
        </w:rPr>
        <w:t>采矿权的设立必须符合开采准入条件，出让采矿权时明确具体开采范围与储量，可以整体开发的不得分割，严禁大矿小开，开采尽量不留边坡，将资源开发利用和矿山地质环境保护进行有机统一。</w:t>
      </w:r>
      <w:r>
        <w:rPr>
          <w:rStyle w:val="10"/>
          <w:rFonts w:eastAsia="仿宋_GB2312"/>
          <w:color w:val="000000"/>
          <w:sz w:val="32"/>
          <w:szCs w:val="32"/>
        </w:rPr>
        <w:t>加强对采区的事中事后监管，严格落实属地主体责任。按照绿色矿山建设标准，积极开展绿色矿山建设。</w:t>
      </w:r>
    </w:p>
    <w:p w14:paraId="0C7428CF">
      <w:pPr>
        <w:spacing w:line="360" w:lineRule="auto"/>
        <w:ind w:firstLine="540"/>
        <w:rPr>
          <w:rStyle w:val="10"/>
          <w:rFonts w:hAnsi="宋体" w:eastAsia="仿宋_GB2312" w:cs="Calibri"/>
          <w:bCs/>
          <w:sz w:val="32"/>
          <w:szCs w:val="28"/>
        </w:rPr>
      </w:pPr>
    </w:p>
    <w:p w14:paraId="026B662E">
      <w:pPr>
        <w:spacing w:line="360" w:lineRule="auto"/>
        <w:ind w:firstLine="540"/>
        <w:rPr>
          <w:rStyle w:val="10"/>
          <w:rFonts w:ascii="宋体" w:hAnsi="宋体" w:eastAsia="仿宋_GB2312"/>
          <w:sz w:val="32"/>
          <w:szCs w:val="28"/>
        </w:rPr>
        <w:sectPr>
          <w:pgSz w:w="11906" w:h="16838"/>
          <w:pgMar w:top="1440" w:right="1800" w:bottom="1440" w:left="1800" w:header="851" w:footer="992" w:gutter="0"/>
          <w:cols w:space="425" w:num="1"/>
          <w:docGrid w:type="lines" w:linePitch="312" w:charSpace="0"/>
        </w:sectPr>
      </w:pPr>
    </w:p>
    <w:p w14:paraId="42743C51">
      <w:pPr>
        <w:spacing w:before="312" w:beforeAutospacing="1" w:after="312" w:afterAutospacing="1" w:line="1280" w:lineRule="exact"/>
        <w:ind w:firstLine="540"/>
        <w:jc w:val="center"/>
        <w:outlineLvl w:val="0"/>
        <w:rPr>
          <w:rStyle w:val="10"/>
          <w:rFonts w:ascii="黑体" w:hAnsi="仿宋_GB2312" w:eastAsia="黑体"/>
          <w:sz w:val="32"/>
          <w:szCs w:val="32"/>
        </w:rPr>
      </w:pPr>
      <w:r>
        <w:rPr>
          <w:rStyle w:val="10"/>
          <w:rFonts w:ascii="黑体" w:hAnsi="仿宋_GB2312" w:eastAsia="黑体"/>
          <w:sz w:val="32"/>
          <w:szCs w:val="32"/>
        </w:rPr>
        <w:t>第四章  矿业结构调整与转型升级</w:t>
      </w:r>
    </w:p>
    <w:p w14:paraId="6606E766">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合理调控开采总量</w:t>
      </w:r>
    </w:p>
    <w:p w14:paraId="61B79BB2">
      <w:pPr>
        <w:tabs>
          <w:tab w:val="left" w:pos="720"/>
        </w:tabs>
        <w:snapToGrid w:val="0"/>
        <w:spacing w:line="360" w:lineRule="auto"/>
        <w:ind w:firstLine="640" w:firstLineChars="200"/>
        <w:rPr>
          <w:rStyle w:val="10"/>
          <w:rFonts w:ascii="仿宋_GB2312" w:eastAsia="仿宋_GB2312" w:cs="Calibri"/>
          <w:bCs/>
          <w:color w:val="000000"/>
          <w:kern w:val="0"/>
          <w:sz w:val="32"/>
          <w:szCs w:val="32"/>
          <w:highlight w:val="yellow"/>
        </w:rPr>
      </w:pPr>
      <w:r>
        <w:rPr>
          <w:rStyle w:val="10"/>
          <w:rFonts w:ascii="仿宋_GB2312" w:eastAsia="仿宋_GB2312" w:cs="Calibri"/>
          <w:bCs/>
          <w:color w:val="000000"/>
          <w:kern w:val="0"/>
          <w:sz w:val="32"/>
          <w:szCs w:val="32"/>
        </w:rPr>
        <w:t>结合矿产资源储量、空间分布情况、矿产品市场供需形势及经济社会发展需求，实行矿产资源开采总量和采矿权投放总量双调控，力求矿产资源开发利用总量与经济社会发展水平相适应。严格控制新建矿山数量，到2025年底前，全市在期非油气类矿山总数控制在16家以内，其中建筑用砂石矿山数量控制在4家以内。在保障特高压输变电等煤-电重大工程的供给前提下，煤炭年开采总量控制在7000万吨；在保障锡林浩特市-正蓝旗-张家口快速客运专线、锡二高速、机场升级改造、市政供排水等基础设施建设基础上，建筑用砂和石年开采总量分别控制在100万立方米/年和150万立方米/年。</w:t>
      </w:r>
    </w:p>
    <w:p w14:paraId="0DA50D4D">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第二节  开发利用结构调整</w:t>
      </w:r>
    </w:p>
    <w:p w14:paraId="0FC51359">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一、提高新建矿山最低开采规模</w:t>
      </w:r>
    </w:p>
    <w:p w14:paraId="7F7410D6">
      <w:pPr>
        <w:spacing w:line="360" w:lineRule="auto"/>
        <w:ind w:firstLine="614" w:firstLineChars="192"/>
        <w:rPr>
          <w:rStyle w:val="10"/>
          <w:rFonts w:ascii="宋体" w:hAnsi="宋体" w:eastAsia="仿宋_GB2312" w:cs="Calibri"/>
          <w:bCs/>
          <w:sz w:val="32"/>
          <w:szCs w:val="28"/>
        </w:rPr>
      </w:pPr>
      <w:r>
        <w:rPr>
          <w:rStyle w:val="10"/>
          <w:rFonts w:ascii="宋体" w:hAnsi="宋体" w:eastAsia="仿宋_GB2312" w:cs="Calibri"/>
          <w:bCs/>
          <w:sz w:val="32"/>
          <w:szCs w:val="28"/>
        </w:rPr>
        <w:t>矿山建设规模要与矿床储量规模相适应，将最低开采规模制度，作为审批采矿权和监督管理的依据之一，防止大矿小开、一矿多开。新建普通建筑用砂石土矿山规模必须达中型及以上，其他矿种严格执行上级规划确定的新建矿山最低开采规模要求。</w:t>
      </w:r>
    </w:p>
    <w:p w14:paraId="161D6D43">
      <w:pPr>
        <w:spacing w:line="360" w:lineRule="auto"/>
        <w:ind w:firstLine="562" w:firstLineChars="200"/>
        <w:jc w:val="center"/>
        <w:outlineLvl w:val="3"/>
        <w:rPr>
          <w:rStyle w:val="10"/>
          <w:rFonts w:ascii="仿宋_GB2312" w:hAnsi="宋体" w:eastAsia="仿宋_GB2312"/>
          <w:b/>
          <w:sz w:val="28"/>
          <w:szCs w:val="28"/>
        </w:rPr>
      </w:pPr>
      <w:r>
        <w:rPr>
          <w:rStyle w:val="10"/>
          <w:rFonts w:ascii="仿宋_GB2312" w:hAnsi="宋体" w:eastAsia="仿宋_GB2312"/>
          <w:b/>
          <w:sz w:val="28"/>
          <w:szCs w:val="28"/>
        </w:rPr>
        <w:t>专栏6  新建矿山最低开采规模</w:t>
      </w:r>
    </w:p>
    <w:tbl>
      <w:tblPr>
        <w:tblStyle w:val="7"/>
        <w:tblW w:w="8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23"/>
        <w:gridCol w:w="2553"/>
        <w:gridCol w:w="2290"/>
      </w:tblGrid>
      <w:tr w14:paraId="18DDE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362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6E49C34">
            <w:pPr>
              <w:jc w:val="center"/>
              <w:rPr>
                <w:rStyle w:val="10"/>
                <w:rFonts w:ascii="宋体" w:hAnsi="宋体"/>
                <w:b/>
                <w:sz w:val="24"/>
              </w:rPr>
            </w:pPr>
            <w:r>
              <w:rPr>
                <w:rStyle w:val="10"/>
                <w:rFonts w:ascii="宋体" w:hAnsi="宋体" w:eastAsia="仿宋_GB2312"/>
                <w:b/>
                <w:sz w:val="24"/>
              </w:rPr>
              <w:t>矿种</w:t>
            </w:r>
          </w:p>
        </w:tc>
        <w:tc>
          <w:tcPr>
            <w:tcW w:w="255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449C1DE">
            <w:pPr>
              <w:jc w:val="center"/>
              <w:rPr>
                <w:rStyle w:val="10"/>
                <w:rFonts w:ascii="宋体" w:hAnsi="宋体"/>
                <w:b/>
                <w:sz w:val="24"/>
              </w:rPr>
            </w:pPr>
            <w:r>
              <w:rPr>
                <w:rStyle w:val="10"/>
                <w:rFonts w:ascii="宋体" w:hAnsi="宋体" w:eastAsia="仿宋_GB2312"/>
                <w:b/>
                <w:sz w:val="24"/>
              </w:rPr>
              <w:t>单位</w:t>
            </w:r>
          </w:p>
        </w:tc>
        <w:tc>
          <w:tcPr>
            <w:tcW w:w="229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52954A2">
            <w:pPr>
              <w:jc w:val="center"/>
              <w:rPr>
                <w:rStyle w:val="10"/>
                <w:rFonts w:ascii="宋体" w:hAnsi="宋体"/>
                <w:b/>
                <w:sz w:val="24"/>
              </w:rPr>
            </w:pPr>
            <w:r>
              <w:rPr>
                <w:rStyle w:val="10"/>
                <w:rFonts w:ascii="宋体" w:hAnsi="宋体" w:eastAsia="仿宋_GB2312"/>
                <w:b/>
                <w:sz w:val="24"/>
              </w:rPr>
              <w:t>规模</w:t>
            </w:r>
          </w:p>
        </w:tc>
      </w:tr>
      <w:tr w14:paraId="3A5BF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14:paraId="245FEAB4">
            <w:pPr>
              <w:jc w:val="center"/>
              <w:rPr>
                <w:rStyle w:val="10"/>
                <w:rFonts w:ascii="宋体" w:hAnsi="宋体"/>
                <w:sz w:val="24"/>
              </w:rPr>
            </w:pPr>
            <w:r>
              <w:rPr>
                <w:rStyle w:val="10"/>
                <w:rFonts w:ascii="宋体" w:hAnsi="宋体" w:eastAsia="仿宋_GB2312"/>
                <w:sz w:val="24"/>
              </w:rPr>
              <w:t>煤（地下开采）</w:t>
            </w:r>
          </w:p>
        </w:tc>
        <w:tc>
          <w:tcPr>
            <w:tcW w:w="2553" w:type="dxa"/>
            <w:tcBorders>
              <w:top w:val="single" w:color="000000" w:sz="4" w:space="0"/>
              <w:left w:val="single" w:color="000000" w:sz="4" w:space="0"/>
              <w:bottom w:val="single" w:color="000000" w:sz="4" w:space="0"/>
              <w:right w:val="single" w:color="000000" w:sz="4" w:space="0"/>
            </w:tcBorders>
            <w:vAlign w:val="center"/>
          </w:tcPr>
          <w:p w14:paraId="3B4F9128">
            <w:pPr>
              <w:jc w:val="center"/>
              <w:rPr>
                <w:rStyle w:val="10"/>
                <w:rFonts w:ascii="宋体" w:hAnsi="宋体"/>
                <w:sz w:val="24"/>
              </w:rPr>
            </w:pPr>
            <w:r>
              <w:rPr>
                <w:rStyle w:val="10"/>
                <w:rFonts w:ascii="宋体" w:hAnsi="宋体" w:eastAsia="仿宋_GB2312"/>
                <w:sz w:val="24"/>
              </w:rPr>
              <w:t>原煤万吨/年</w:t>
            </w:r>
          </w:p>
        </w:tc>
        <w:tc>
          <w:tcPr>
            <w:tcW w:w="2290" w:type="dxa"/>
            <w:tcBorders>
              <w:top w:val="single" w:color="000000" w:sz="4" w:space="0"/>
              <w:left w:val="single" w:color="000000" w:sz="4" w:space="0"/>
              <w:bottom w:val="single" w:color="000000" w:sz="4" w:space="0"/>
              <w:right w:val="single" w:color="000000" w:sz="4" w:space="0"/>
            </w:tcBorders>
            <w:vAlign w:val="center"/>
          </w:tcPr>
          <w:p w14:paraId="4D606A2D">
            <w:pPr>
              <w:jc w:val="center"/>
              <w:rPr>
                <w:rStyle w:val="10"/>
                <w:rFonts w:ascii="宋体" w:hAnsi="宋体"/>
                <w:sz w:val="24"/>
              </w:rPr>
            </w:pPr>
            <w:r>
              <w:rPr>
                <w:rStyle w:val="10"/>
                <w:rFonts w:ascii="宋体" w:hAnsi="宋体" w:eastAsia="仿宋_GB2312"/>
                <w:sz w:val="24"/>
              </w:rPr>
              <w:t>300</w:t>
            </w:r>
          </w:p>
        </w:tc>
      </w:tr>
      <w:tr w14:paraId="46A5E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14:paraId="5CE86B6D">
            <w:pPr>
              <w:jc w:val="center"/>
              <w:rPr>
                <w:rStyle w:val="10"/>
                <w:rFonts w:ascii="宋体" w:hAnsi="宋体"/>
                <w:sz w:val="24"/>
              </w:rPr>
            </w:pPr>
            <w:r>
              <w:rPr>
                <w:rStyle w:val="10"/>
                <w:rFonts w:ascii="宋体" w:hAnsi="宋体" w:eastAsia="仿宋_GB2312"/>
                <w:sz w:val="24"/>
              </w:rPr>
              <w:t>岩金</w:t>
            </w:r>
          </w:p>
        </w:tc>
        <w:tc>
          <w:tcPr>
            <w:tcW w:w="2553" w:type="dxa"/>
            <w:tcBorders>
              <w:top w:val="single" w:color="000000" w:sz="4" w:space="0"/>
              <w:left w:val="single" w:color="000000" w:sz="4" w:space="0"/>
              <w:bottom w:val="single" w:color="000000" w:sz="4" w:space="0"/>
              <w:right w:val="single" w:color="000000" w:sz="4" w:space="0"/>
            </w:tcBorders>
            <w:vAlign w:val="center"/>
          </w:tcPr>
          <w:p w14:paraId="2795BAEF">
            <w:pPr>
              <w:jc w:val="center"/>
              <w:rPr>
                <w:rStyle w:val="10"/>
                <w:rFonts w:ascii="宋体" w:hAnsi="宋体"/>
                <w:sz w:val="24"/>
              </w:rPr>
            </w:pPr>
            <w:r>
              <w:rPr>
                <w:rStyle w:val="10"/>
                <w:rFonts w:ascii="宋体" w:hAnsi="宋体" w:eastAsia="仿宋_GB2312"/>
                <w:sz w:val="24"/>
              </w:rPr>
              <w:t>矿石 万吨/年</w:t>
            </w:r>
          </w:p>
        </w:tc>
        <w:tc>
          <w:tcPr>
            <w:tcW w:w="2290" w:type="dxa"/>
            <w:tcBorders>
              <w:top w:val="single" w:color="000000" w:sz="4" w:space="0"/>
              <w:left w:val="single" w:color="000000" w:sz="4" w:space="0"/>
              <w:bottom w:val="single" w:color="000000" w:sz="4" w:space="0"/>
              <w:right w:val="single" w:color="000000" w:sz="4" w:space="0"/>
            </w:tcBorders>
            <w:vAlign w:val="center"/>
          </w:tcPr>
          <w:p w14:paraId="4428837E">
            <w:pPr>
              <w:jc w:val="center"/>
              <w:rPr>
                <w:rStyle w:val="10"/>
                <w:rFonts w:ascii="宋体" w:hAnsi="宋体"/>
                <w:sz w:val="24"/>
              </w:rPr>
            </w:pPr>
            <w:r>
              <w:rPr>
                <w:rStyle w:val="10"/>
                <w:rFonts w:ascii="宋体" w:hAnsi="宋体" w:eastAsia="仿宋_GB2312"/>
                <w:sz w:val="24"/>
              </w:rPr>
              <w:t>4</w:t>
            </w:r>
          </w:p>
        </w:tc>
      </w:tr>
      <w:tr w14:paraId="1D1B8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14:paraId="79773232">
            <w:pPr>
              <w:jc w:val="center"/>
              <w:rPr>
                <w:rStyle w:val="10"/>
                <w:rFonts w:ascii="宋体" w:hAnsi="宋体" w:eastAsia="仿宋_GB2312"/>
                <w:sz w:val="24"/>
              </w:rPr>
            </w:pPr>
            <w:r>
              <w:rPr>
                <w:rStyle w:val="10"/>
                <w:rFonts w:ascii="宋体" w:hAnsi="宋体" w:eastAsia="仿宋_GB2312"/>
                <w:sz w:val="24"/>
              </w:rPr>
              <w:t>建筑用砂</w:t>
            </w:r>
          </w:p>
        </w:tc>
        <w:tc>
          <w:tcPr>
            <w:tcW w:w="2553" w:type="dxa"/>
            <w:tcBorders>
              <w:top w:val="single" w:color="000000" w:sz="4" w:space="0"/>
              <w:left w:val="single" w:color="000000" w:sz="4" w:space="0"/>
              <w:bottom w:val="single" w:color="000000" w:sz="4" w:space="0"/>
              <w:right w:val="single" w:color="000000" w:sz="4" w:space="0"/>
            </w:tcBorders>
            <w:vAlign w:val="center"/>
          </w:tcPr>
          <w:p w14:paraId="3A4A8160">
            <w:pPr>
              <w:jc w:val="center"/>
              <w:rPr>
                <w:rStyle w:val="10"/>
                <w:rFonts w:ascii="宋体" w:hAnsi="宋体" w:eastAsia="仿宋_GB2312"/>
                <w:sz w:val="24"/>
              </w:rPr>
            </w:pPr>
            <w:r>
              <w:rPr>
                <w:rStyle w:val="10"/>
                <w:rFonts w:ascii="宋体" w:hAnsi="宋体" w:eastAsia="仿宋_GB2312"/>
                <w:sz w:val="24"/>
              </w:rPr>
              <w:t>万立方米/年</w:t>
            </w:r>
          </w:p>
        </w:tc>
        <w:tc>
          <w:tcPr>
            <w:tcW w:w="2290" w:type="dxa"/>
            <w:tcBorders>
              <w:top w:val="single" w:color="000000" w:sz="4" w:space="0"/>
              <w:left w:val="single" w:color="000000" w:sz="4" w:space="0"/>
              <w:bottom w:val="single" w:color="000000" w:sz="4" w:space="0"/>
              <w:right w:val="single" w:color="000000" w:sz="4" w:space="0"/>
            </w:tcBorders>
            <w:vAlign w:val="center"/>
          </w:tcPr>
          <w:p w14:paraId="64DF256B">
            <w:pPr>
              <w:jc w:val="center"/>
              <w:rPr>
                <w:rStyle w:val="10"/>
                <w:rFonts w:ascii="宋体" w:hAnsi="宋体" w:eastAsia="仿宋_GB2312"/>
                <w:sz w:val="24"/>
              </w:rPr>
            </w:pPr>
            <w:r>
              <w:rPr>
                <w:rStyle w:val="10"/>
                <w:rFonts w:ascii="宋体" w:hAnsi="宋体" w:eastAsia="仿宋_GB2312"/>
                <w:sz w:val="24"/>
              </w:rPr>
              <w:t>6</w:t>
            </w:r>
          </w:p>
        </w:tc>
      </w:tr>
      <w:tr w14:paraId="75995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14:paraId="37B00915">
            <w:pPr>
              <w:jc w:val="center"/>
              <w:rPr>
                <w:rStyle w:val="10"/>
                <w:rFonts w:ascii="宋体" w:hAnsi="宋体" w:eastAsia="仿宋_GB2312"/>
                <w:sz w:val="24"/>
              </w:rPr>
            </w:pPr>
            <w:r>
              <w:rPr>
                <w:rStyle w:val="10"/>
                <w:rFonts w:ascii="宋体" w:hAnsi="宋体" w:eastAsia="仿宋_GB2312"/>
                <w:sz w:val="24"/>
              </w:rPr>
              <w:t>建筑用石材</w:t>
            </w:r>
          </w:p>
        </w:tc>
        <w:tc>
          <w:tcPr>
            <w:tcW w:w="2553" w:type="dxa"/>
            <w:tcBorders>
              <w:top w:val="single" w:color="000000" w:sz="4" w:space="0"/>
              <w:left w:val="single" w:color="000000" w:sz="4" w:space="0"/>
              <w:bottom w:val="single" w:color="000000" w:sz="4" w:space="0"/>
              <w:right w:val="single" w:color="000000" w:sz="4" w:space="0"/>
            </w:tcBorders>
            <w:vAlign w:val="center"/>
          </w:tcPr>
          <w:p w14:paraId="2000DA5B">
            <w:pPr>
              <w:jc w:val="center"/>
              <w:rPr>
                <w:rStyle w:val="10"/>
                <w:rFonts w:ascii="宋体" w:hAnsi="宋体" w:eastAsia="仿宋_GB2312"/>
                <w:sz w:val="24"/>
              </w:rPr>
            </w:pPr>
            <w:r>
              <w:rPr>
                <w:rStyle w:val="10"/>
                <w:rFonts w:ascii="宋体" w:hAnsi="宋体" w:eastAsia="仿宋_GB2312"/>
                <w:sz w:val="24"/>
              </w:rPr>
              <w:t>万立方米/年</w:t>
            </w:r>
          </w:p>
        </w:tc>
        <w:tc>
          <w:tcPr>
            <w:tcW w:w="2290" w:type="dxa"/>
            <w:tcBorders>
              <w:top w:val="single" w:color="000000" w:sz="4" w:space="0"/>
              <w:left w:val="single" w:color="000000" w:sz="4" w:space="0"/>
              <w:bottom w:val="single" w:color="000000" w:sz="4" w:space="0"/>
              <w:right w:val="single" w:color="000000" w:sz="4" w:space="0"/>
            </w:tcBorders>
            <w:vAlign w:val="center"/>
          </w:tcPr>
          <w:p w14:paraId="019453D2">
            <w:pPr>
              <w:jc w:val="center"/>
              <w:rPr>
                <w:rStyle w:val="10"/>
                <w:rFonts w:ascii="宋体" w:hAnsi="宋体" w:eastAsia="仿宋_GB2312"/>
                <w:sz w:val="24"/>
              </w:rPr>
            </w:pPr>
            <w:r>
              <w:rPr>
                <w:rStyle w:val="10"/>
                <w:rFonts w:ascii="宋体" w:hAnsi="宋体" w:eastAsia="仿宋_GB2312"/>
                <w:sz w:val="24"/>
              </w:rPr>
              <w:t>5</w:t>
            </w:r>
          </w:p>
        </w:tc>
      </w:tr>
    </w:tbl>
    <w:p w14:paraId="787B92CC">
      <w:pPr>
        <w:jc w:val="center"/>
        <w:rPr>
          <w:rStyle w:val="10"/>
          <w:rFonts w:ascii="宋体" w:hAnsi="宋体" w:eastAsia="仿宋_GB2312"/>
          <w:sz w:val="24"/>
        </w:rPr>
      </w:pPr>
    </w:p>
    <w:p w14:paraId="6915589C">
      <w:pPr>
        <w:pStyle w:val="15"/>
        <w:spacing w:before="312" w:after="156" w:line="640" w:lineRule="exact"/>
        <w:ind w:firstLine="640" w:firstLineChars="200"/>
        <w:outlineLvl w:val="2"/>
        <w:rPr>
          <w:rStyle w:val="10"/>
          <w:rFonts w:ascii="黑体" w:eastAsia="黑体"/>
          <w:b w:val="0"/>
          <w:szCs w:val="28"/>
        </w:rPr>
      </w:pPr>
      <w:r>
        <w:rPr>
          <w:rStyle w:val="10"/>
          <w:rFonts w:ascii="黑体" w:eastAsia="黑体"/>
          <w:b w:val="0"/>
          <w:szCs w:val="28"/>
        </w:rPr>
        <w:t>二、合理调整矿山规模结构</w:t>
      </w:r>
    </w:p>
    <w:p w14:paraId="3E59E528">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按照集约高效原则，促进矿山规模化、集约化生产，提高大中型矿山比例，提升矿业权集中度和规模效益，以市场化手段，推动落后产能兼并重组、转型转产，鼓励和引导优质企业做大做强。到2025年，大中型矿山比例提高到70%以上。</w:t>
      </w:r>
    </w:p>
    <w:p w14:paraId="4DB18A3E">
      <w:pPr>
        <w:pStyle w:val="15"/>
        <w:spacing w:before="312" w:after="156" w:line="640" w:lineRule="exact"/>
        <w:ind w:firstLine="640" w:firstLineChars="200"/>
        <w:outlineLvl w:val="2"/>
        <w:rPr>
          <w:rStyle w:val="10"/>
          <w:rFonts w:ascii="黑体" w:eastAsia="黑体"/>
          <w:b w:val="0"/>
          <w:szCs w:val="28"/>
          <w:highlight w:val="yellow"/>
        </w:rPr>
      </w:pPr>
      <w:r>
        <w:rPr>
          <w:rStyle w:val="10"/>
          <w:rFonts w:ascii="黑体" w:eastAsia="黑体"/>
          <w:b w:val="0"/>
          <w:szCs w:val="28"/>
        </w:rPr>
        <w:t>三、优化矿山生产要素结构</w:t>
      </w:r>
    </w:p>
    <w:p w14:paraId="29A87647">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以煤炭生产矿山为重点，引导矿山企业进行生产要素重组，提高劳动力素质，开发先进适用的采选技术，更新开采加工设备，推广应用清洁生产和安全生产技术，逐步淘汰落后设备、技术、工艺，促进矿山企业提高矿产资源开采回采率和选矿回收率，减少资源浪费。同时，延长产业链、提高矿产品附加值，高效利用矿产资源，走节约、清洁、安全和可持续发展道路。</w:t>
      </w:r>
    </w:p>
    <w:p w14:paraId="30CBA32F">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第三节  节约与综合利用</w:t>
      </w:r>
    </w:p>
    <w:p w14:paraId="44C41A70">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积极推广矿产资源节约与综合利用先进技术，矿山企业通过节约与综合利用提质增效。</w:t>
      </w:r>
    </w:p>
    <w:p w14:paraId="525E344C">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一、加强共伴生矿产的综合开发利用</w:t>
      </w:r>
    </w:p>
    <w:p w14:paraId="1BB1025C">
      <w:pPr>
        <w:spacing w:line="360" w:lineRule="auto"/>
        <w:ind w:firstLine="640" w:firstLineChars="200"/>
        <w:rPr>
          <w:rStyle w:val="10"/>
          <w:rFonts w:ascii="宋体" w:hAnsi="宋体" w:eastAsia="仿宋_GB2312" w:cs="Calibri"/>
          <w:bCs/>
          <w:sz w:val="32"/>
          <w:szCs w:val="28"/>
        </w:rPr>
      </w:pPr>
      <w:r>
        <w:rPr>
          <w:rStyle w:val="10"/>
          <w:rFonts w:ascii="仿宋_GB2312" w:eastAsia="仿宋_GB2312" w:cs="Calibri"/>
          <w:bCs/>
          <w:kern w:val="0"/>
          <w:sz w:val="32"/>
          <w:szCs w:val="32"/>
        </w:rPr>
        <w:t>着重解决中低品位矿、复杂难选冶矿及共伴生矿综合利用技术研究与产业化工作，加快选冶新技术、新工艺、新材料的研发、引进和应用工作，变潜在非传统资源为产业发展优势资源。</w:t>
      </w:r>
      <w:r>
        <w:rPr>
          <w:rStyle w:val="10"/>
          <w:rFonts w:ascii="宋体" w:hAnsi="宋体" w:eastAsia="仿宋_GB2312" w:cs="Calibri"/>
          <w:bCs/>
          <w:sz w:val="32"/>
          <w:szCs w:val="28"/>
        </w:rPr>
        <w:t>依靠先进技术，提升锗开采回收率，提高锗煤综合利用水平；加强对铬铁矿、铜锌混合矿等复杂难选矿石及低品位矿石的选冶加工利用性能研究，提高资源综合利用水平。</w:t>
      </w:r>
    </w:p>
    <w:p w14:paraId="13CBCCA6">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二、加大矿山固体废弃物的综合利用率</w:t>
      </w:r>
    </w:p>
    <w:p w14:paraId="161A27D6">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继续做好采掘废石和选矿尾矿等矿山固体废弃物中有用组分的回收利用。加强有价值元素的提取技术研究，通过开发应用新的选矿技术和工艺，充分回收有价元素；鼓励金属、非金属矿山采掘废石作为建筑石料利用。加大政策扶持力度，实现废弃物的减量化、无害化和零排放，推进资源开发与生态环境的协调发展。</w:t>
      </w:r>
    </w:p>
    <w:p w14:paraId="084B2C9D">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三、严格执行“三率”指标要求</w:t>
      </w:r>
    </w:p>
    <w:p w14:paraId="262254A8">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在资源开发利用过程中，涉及的“三率”指标需达到或超过国家规定的最低标准，配套完善“三率”指标考核相关激励、约束机制及准入、退出机制。对于资源高效利用的矿山，依法优先配置矿产资源，优先保障矿业用地等；对于实际“三率”不达标和严重浪费资源、破坏生态环境的矿山，责令限期整改，拒不整改或整改后仍不合格的，依法给予行政处罚，直至吊销采矿许可证。新建矿山，要求采用国家规定或建议推广的采选冶新技术新工艺，投产后的“三率”指标必须达到设计方案要求。</w:t>
      </w:r>
    </w:p>
    <w:p w14:paraId="106C60CD">
      <w:pPr>
        <w:pStyle w:val="12"/>
        <w:rPr>
          <w:rStyle w:val="10"/>
          <w:rFonts w:ascii="宋体" w:hAnsi="宋体" w:eastAsia="仿宋_GB2312" w:cs="Calibri"/>
          <w:bCs/>
          <w:sz w:val="32"/>
          <w:szCs w:val="28"/>
        </w:rPr>
      </w:pPr>
    </w:p>
    <w:p w14:paraId="7B6F1604">
      <w:pPr>
        <w:pStyle w:val="13"/>
        <w:spacing w:before="312" w:beforeAutospacing="1" w:after="312" w:afterAutospacing="1" w:line="1280" w:lineRule="exact"/>
        <w:jc w:val="center"/>
        <w:rPr>
          <w:rStyle w:val="10"/>
          <w:rFonts w:ascii="黑体" w:hAnsi="仿宋_GB2312" w:eastAsia="黑体"/>
          <w:sz w:val="32"/>
          <w:szCs w:val="32"/>
        </w:rPr>
        <w:sectPr>
          <w:pgSz w:w="11906" w:h="16838"/>
          <w:pgMar w:top="1440" w:right="1800" w:bottom="1440" w:left="1800" w:header="851" w:footer="992" w:gutter="0"/>
          <w:cols w:space="425" w:num="1"/>
          <w:docGrid w:type="lines" w:linePitch="312" w:charSpace="0"/>
        </w:sectPr>
      </w:pPr>
    </w:p>
    <w:p w14:paraId="2EC650CE">
      <w:pPr>
        <w:pStyle w:val="13"/>
        <w:spacing w:before="312" w:beforeAutospacing="1" w:after="312" w:afterAutospacing="1" w:line="1280" w:lineRule="exact"/>
        <w:jc w:val="center"/>
        <w:outlineLvl w:val="0"/>
        <w:rPr>
          <w:rStyle w:val="10"/>
          <w:rFonts w:ascii="黑体" w:hAnsi="仿宋_GB2312" w:eastAsia="黑体"/>
          <w:sz w:val="32"/>
          <w:szCs w:val="32"/>
        </w:rPr>
      </w:pPr>
      <w:r>
        <w:rPr>
          <w:rStyle w:val="10"/>
          <w:rFonts w:ascii="黑体" w:hAnsi="仿宋_GB2312" w:eastAsia="黑体"/>
          <w:sz w:val="32"/>
          <w:szCs w:val="32"/>
        </w:rPr>
        <w:t>第五章  规划区块划定与勘查开采监督管理</w:t>
      </w:r>
    </w:p>
    <w:p w14:paraId="16863D59">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矿产资源勘查开采规划区块划定</w:t>
      </w:r>
    </w:p>
    <w:p w14:paraId="288F481F">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一、勘查规划区块的划定</w:t>
      </w:r>
    </w:p>
    <w:p w14:paraId="4E0AC118">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按照同一矿种探矿权采矿权出让登记同级管理的要求，本级未划定勘查规划区块，共落实上级规划划定区块5个，包括地热4个、矿泉水1个，勘查程度均为详查，勘查总面积为262.05平方千米。</w:t>
      </w:r>
    </w:p>
    <w:p w14:paraId="5EF3046F">
      <w:pPr>
        <w:spacing w:line="360" w:lineRule="auto"/>
        <w:ind w:firstLine="562" w:firstLineChars="200"/>
        <w:jc w:val="center"/>
        <w:rPr>
          <w:rStyle w:val="10"/>
          <w:rFonts w:ascii="仿宋_GB2312" w:hAnsi="宋体" w:eastAsia="仿宋_GB2312"/>
          <w:b/>
          <w:sz w:val="28"/>
          <w:szCs w:val="28"/>
        </w:rPr>
      </w:pPr>
      <w:r>
        <w:rPr>
          <w:rStyle w:val="10"/>
          <w:rFonts w:ascii="仿宋_GB2312" w:hAnsi="宋体" w:eastAsia="仿宋_GB2312"/>
          <w:b/>
          <w:sz w:val="28"/>
          <w:szCs w:val="28"/>
        </w:rPr>
        <w:t>专栏7  勘查规划区块</w:t>
      </w:r>
    </w:p>
    <w:tbl>
      <w:tblPr>
        <w:tblStyle w:val="7"/>
        <w:tblW w:w="8362" w:type="dxa"/>
        <w:tblInd w:w="-28" w:type="dxa"/>
        <w:tblLayout w:type="autofit"/>
        <w:tblCellMar>
          <w:top w:w="0" w:type="dxa"/>
          <w:left w:w="0" w:type="dxa"/>
          <w:bottom w:w="0" w:type="dxa"/>
          <w:right w:w="0" w:type="dxa"/>
        </w:tblCellMar>
      </w:tblPr>
      <w:tblGrid>
        <w:gridCol w:w="608"/>
        <w:gridCol w:w="4240"/>
        <w:gridCol w:w="918"/>
        <w:gridCol w:w="1303"/>
        <w:gridCol w:w="1293"/>
      </w:tblGrid>
      <w:tr w14:paraId="22420A54">
        <w:tblPrEx>
          <w:tblCellMar>
            <w:top w:w="0" w:type="dxa"/>
            <w:left w:w="0" w:type="dxa"/>
            <w:bottom w:w="0" w:type="dxa"/>
            <w:right w:w="0" w:type="dxa"/>
          </w:tblCellMar>
        </w:tblPrEx>
        <w:trPr>
          <w:trHeight w:val="547" w:hRule="atLeast"/>
        </w:trPr>
        <w:tc>
          <w:tcPr>
            <w:tcW w:w="60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1E19B3F">
            <w:pPr>
              <w:snapToGrid w:val="0"/>
              <w:jc w:val="center"/>
              <w:rPr>
                <w:rStyle w:val="10"/>
                <w:rFonts w:eastAsia="仿宋_GB2312" w:cs="Calibri"/>
                <w:b/>
                <w:bCs/>
                <w:kern w:val="0"/>
                <w:sz w:val="24"/>
              </w:rPr>
            </w:pPr>
            <w:r>
              <w:rPr>
                <w:rStyle w:val="10"/>
                <w:rFonts w:eastAsia="仿宋_GB2312" w:cs="Calibri"/>
                <w:b/>
                <w:bCs/>
                <w:kern w:val="0"/>
                <w:sz w:val="24"/>
              </w:rPr>
              <w:t>序号</w:t>
            </w:r>
          </w:p>
        </w:tc>
        <w:tc>
          <w:tcPr>
            <w:tcW w:w="4240" w:type="dxa"/>
            <w:tcBorders>
              <w:top w:val="single" w:color="000000" w:sz="4" w:space="0"/>
              <w:left w:val="nil"/>
              <w:bottom w:val="single" w:color="000000" w:sz="4" w:space="0"/>
              <w:right w:val="single" w:color="000000" w:sz="4" w:space="0"/>
            </w:tcBorders>
            <w:shd w:val="clear" w:color="auto" w:fill="D9D9D9"/>
            <w:vAlign w:val="center"/>
          </w:tcPr>
          <w:p w14:paraId="78EED903">
            <w:pPr>
              <w:snapToGrid w:val="0"/>
              <w:jc w:val="center"/>
              <w:rPr>
                <w:rStyle w:val="10"/>
                <w:rFonts w:eastAsia="仿宋_GB2312" w:cs="Calibri"/>
                <w:b/>
                <w:bCs/>
                <w:kern w:val="0"/>
                <w:sz w:val="24"/>
              </w:rPr>
            </w:pPr>
            <w:r>
              <w:rPr>
                <w:rStyle w:val="10"/>
                <w:rFonts w:eastAsia="仿宋_GB2312" w:cs="Calibri"/>
                <w:b/>
                <w:bCs/>
                <w:kern w:val="0"/>
                <w:sz w:val="24"/>
              </w:rPr>
              <w:t>区块名称</w:t>
            </w:r>
          </w:p>
        </w:tc>
        <w:tc>
          <w:tcPr>
            <w:tcW w:w="918" w:type="dxa"/>
            <w:tcBorders>
              <w:top w:val="single" w:color="000000" w:sz="4" w:space="0"/>
              <w:left w:val="nil"/>
              <w:bottom w:val="single" w:color="000000" w:sz="4" w:space="0"/>
              <w:right w:val="single" w:color="000000" w:sz="4" w:space="0"/>
            </w:tcBorders>
            <w:shd w:val="clear" w:color="auto" w:fill="D9D9D9"/>
            <w:vAlign w:val="center"/>
          </w:tcPr>
          <w:p w14:paraId="0863CF59">
            <w:pPr>
              <w:snapToGrid w:val="0"/>
              <w:jc w:val="center"/>
              <w:rPr>
                <w:rStyle w:val="10"/>
                <w:rFonts w:eastAsia="仿宋_GB2312" w:cs="Calibri"/>
                <w:b/>
                <w:bCs/>
                <w:kern w:val="0"/>
                <w:sz w:val="24"/>
              </w:rPr>
            </w:pPr>
            <w:r>
              <w:rPr>
                <w:rStyle w:val="10"/>
                <w:rFonts w:eastAsia="仿宋_GB2312" w:cs="Calibri"/>
                <w:b/>
                <w:bCs/>
                <w:kern w:val="0"/>
                <w:sz w:val="24"/>
              </w:rPr>
              <w:t>勘查</w:t>
            </w:r>
          </w:p>
          <w:p w14:paraId="5A6083FE">
            <w:pPr>
              <w:snapToGrid w:val="0"/>
              <w:jc w:val="center"/>
              <w:rPr>
                <w:rStyle w:val="10"/>
                <w:rFonts w:eastAsia="仿宋_GB2312" w:cs="Calibri"/>
                <w:b/>
                <w:bCs/>
                <w:kern w:val="0"/>
                <w:sz w:val="24"/>
              </w:rPr>
            </w:pPr>
            <w:r>
              <w:rPr>
                <w:rStyle w:val="10"/>
                <w:rFonts w:eastAsia="仿宋_GB2312" w:cs="Calibri"/>
                <w:b/>
                <w:bCs/>
                <w:kern w:val="0"/>
                <w:sz w:val="24"/>
              </w:rPr>
              <w:t>主矿种</w:t>
            </w:r>
          </w:p>
        </w:tc>
        <w:tc>
          <w:tcPr>
            <w:tcW w:w="1303" w:type="dxa"/>
            <w:tcBorders>
              <w:top w:val="single" w:color="000000" w:sz="4" w:space="0"/>
              <w:left w:val="nil"/>
              <w:bottom w:val="single" w:color="000000" w:sz="4" w:space="0"/>
              <w:right w:val="single" w:color="000000" w:sz="4" w:space="0"/>
            </w:tcBorders>
            <w:shd w:val="clear" w:color="auto" w:fill="D9D9D9"/>
            <w:vAlign w:val="center"/>
          </w:tcPr>
          <w:p w14:paraId="4A7874EE">
            <w:pPr>
              <w:snapToGrid w:val="0"/>
              <w:jc w:val="center"/>
              <w:rPr>
                <w:rStyle w:val="10"/>
                <w:rFonts w:eastAsia="仿宋_GB2312" w:cs="Calibri"/>
                <w:b/>
                <w:bCs/>
                <w:kern w:val="0"/>
                <w:sz w:val="24"/>
              </w:rPr>
            </w:pPr>
            <w:r>
              <w:rPr>
                <w:rStyle w:val="10"/>
                <w:rFonts w:eastAsia="仿宋_GB2312" w:cs="Calibri"/>
                <w:b/>
                <w:bCs/>
                <w:kern w:val="0"/>
                <w:sz w:val="24"/>
              </w:rPr>
              <w:t>面积</w:t>
            </w:r>
          </w:p>
          <w:p w14:paraId="05268DEF">
            <w:pPr>
              <w:snapToGrid w:val="0"/>
              <w:jc w:val="center"/>
              <w:rPr>
                <w:rStyle w:val="10"/>
                <w:rFonts w:eastAsia="仿宋_GB2312" w:cs="Calibri"/>
                <w:b/>
                <w:bCs/>
                <w:kern w:val="0"/>
                <w:sz w:val="24"/>
              </w:rPr>
            </w:pPr>
            <w:r>
              <w:rPr>
                <w:rStyle w:val="10"/>
                <w:rFonts w:eastAsia="仿宋_GB2312" w:cs="Calibri"/>
                <w:b/>
                <w:bCs/>
                <w:kern w:val="0"/>
                <w:sz w:val="24"/>
              </w:rPr>
              <w:t>(平方千米)</w:t>
            </w:r>
          </w:p>
        </w:tc>
        <w:tc>
          <w:tcPr>
            <w:tcW w:w="1293" w:type="dxa"/>
            <w:tcBorders>
              <w:top w:val="single" w:color="000000" w:sz="4" w:space="0"/>
              <w:left w:val="nil"/>
              <w:bottom w:val="single" w:color="000000" w:sz="4" w:space="0"/>
              <w:right w:val="single" w:color="000000" w:sz="4" w:space="0"/>
            </w:tcBorders>
            <w:shd w:val="clear" w:color="auto" w:fill="D9D9D9"/>
            <w:vAlign w:val="center"/>
          </w:tcPr>
          <w:p w14:paraId="0A914373">
            <w:pPr>
              <w:snapToGrid w:val="0"/>
              <w:jc w:val="center"/>
              <w:rPr>
                <w:rStyle w:val="10"/>
                <w:rFonts w:eastAsia="仿宋_GB2312" w:cs="Calibri"/>
                <w:b/>
                <w:bCs/>
                <w:kern w:val="0"/>
                <w:sz w:val="24"/>
              </w:rPr>
            </w:pPr>
            <w:r>
              <w:rPr>
                <w:rStyle w:val="10"/>
                <w:rFonts w:eastAsia="仿宋_GB2312" w:cs="Calibri"/>
                <w:b/>
                <w:bCs/>
                <w:kern w:val="0"/>
                <w:sz w:val="24"/>
              </w:rPr>
              <w:t>拟设探矿权勘查阶段</w:t>
            </w:r>
          </w:p>
        </w:tc>
      </w:tr>
      <w:tr w14:paraId="679B9EF0">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14:paraId="6454929B">
            <w:pPr>
              <w:snapToGrid w:val="0"/>
              <w:jc w:val="center"/>
              <w:rPr>
                <w:rStyle w:val="10"/>
                <w:rFonts w:eastAsia="仿宋_GB2312"/>
                <w:kern w:val="0"/>
                <w:sz w:val="24"/>
              </w:rPr>
            </w:pPr>
            <w:r>
              <w:rPr>
                <w:rStyle w:val="10"/>
                <w:rFonts w:eastAsia="仿宋_GB2312"/>
                <w:kern w:val="0"/>
                <w:sz w:val="24"/>
              </w:rPr>
              <w:t>1</w:t>
            </w:r>
          </w:p>
        </w:tc>
        <w:tc>
          <w:tcPr>
            <w:tcW w:w="4240" w:type="dxa"/>
            <w:tcBorders>
              <w:top w:val="nil"/>
              <w:left w:val="nil"/>
              <w:bottom w:val="single" w:color="000000" w:sz="4" w:space="0"/>
              <w:right w:val="single" w:color="000000" w:sz="4" w:space="0"/>
            </w:tcBorders>
            <w:vAlign w:val="center"/>
          </w:tcPr>
          <w:p w14:paraId="0FDCC159">
            <w:pPr>
              <w:snapToGrid w:val="0"/>
              <w:jc w:val="left"/>
              <w:rPr>
                <w:rStyle w:val="10"/>
                <w:rFonts w:eastAsia="仿宋_GB2312"/>
                <w:kern w:val="0"/>
                <w:sz w:val="24"/>
              </w:rPr>
            </w:pPr>
            <w:r>
              <w:rPr>
                <w:rStyle w:val="10"/>
                <w:rFonts w:eastAsia="仿宋_GB2312"/>
                <w:kern w:val="0"/>
                <w:sz w:val="24"/>
              </w:rPr>
              <w:t>内蒙古自治区锡林浩特市吉日嘎郎图凹陷中段四区地热资源普查</w:t>
            </w:r>
          </w:p>
        </w:tc>
        <w:tc>
          <w:tcPr>
            <w:tcW w:w="918" w:type="dxa"/>
            <w:tcBorders>
              <w:top w:val="nil"/>
              <w:left w:val="nil"/>
              <w:bottom w:val="single" w:color="000000" w:sz="4" w:space="0"/>
              <w:right w:val="single" w:color="000000" w:sz="4" w:space="0"/>
            </w:tcBorders>
            <w:vAlign w:val="center"/>
          </w:tcPr>
          <w:p w14:paraId="53A3D0CF">
            <w:pPr>
              <w:snapToGrid w:val="0"/>
              <w:jc w:val="center"/>
              <w:rPr>
                <w:rStyle w:val="10"/>
                <w:rFonts w:eastAsia="仿宋_GB2312"/>
                <w:kern w:val="0"/>
                <w:sz w:val="24"/>
              </w:rPr>
            </w:pPr>
            <w:r>
              <w:rPr>
                <w:rStyle w:val="10"/>
                <w:rFonts w:eastAsia="仿宋_GB2312"/>
                <w:kern w:val="0"/>
                <w:sz w:val="24"/>
              </w:rPr>
              <w:t>地热</w:t>
            </w:r>
          </w:p>
        </w:tc>
        <w:tc>
          <w:tcPr>
            <w:tcW w:w="1303" w:type="dxa"/>
            <w:tcBorders>
              <w:top w:val="nil"/>
              <w:left w:val="nil"/>
              <w:bottom w:val="single" w:color="000000" w:sz="4" w:space="0"/>
              <w:right w:val="single" w:color="000000" w:sz="4" w:space="0"/>
            </w:tcBorders>
            <w:vAlign w:val="center"/>
          </w:tcPr>
          <w:p w14:paraId="65EE208A">
            <w:pPr>
              <w:snapToGrid w:val="0"/>
              <w:jc w:val="center"/>
              <w:rPr>
                <w:rStyle w:val="10"/>
                <w:rFonts w:eastAsia="仿宋_GB2312"/>
                <w:kern w:val="0"/>
                <w:sz w:val="24"/>
              </w:rPr>
            </w:pPr>
            <w:r>
              <w:rPr>
                <w:rStyle w:val="10"/>
                <w:rFonts w:eastAsia="仿宋_GB2312"/>
                <w:kern w:val="0"/>
                <w:sz w:val="24"/>
              </w:rPr>
              <w:t>96.58</w:t>
            </w:r>
          </w:p>
        </w:tc>
        <w:tc>
          <w:tcPr>
            <w:tcW w:w="1293" w:type="dxa"/>
            <w:tcBorders>
              <w:top w:val="nil"/>
              <w:left w:val="nil"/>
              <w:bottom w:val="single" w:color="000000" w:sz="4" w:space="0"/>
              <w:right w:val="single" w:color="000000" w:sz="4" w:space="0"/>
            </w:tcBorders>
            <w:vAlign w:val="center"/>
          </w:tcPr>
          <w:p w14:paraId="338E664A">
            <w:pPr>
              <w:snapToGrid w:val="0"/>
              <w:jc w:val="center"/>
              <w:rPr>
                <w:rStyle w:val="10"/>
                <w:rFonts w:eastAsia="仿宋_GB2312"/>
                <w:kern w:val="0"/>
                <w:sz w:val="24"/>
              </w:rPr>
            </w:pPr>
            <w:r>
              <w:rPr>
                <w:rStyle w:val="10"/>
                <w:rFonts w:eastAsia="仿宋_GB2312"/>
                <w:kern w:val="0"/>
                <w:sz w:val="24"/>
              </w:rPr>
              <w:t>详查</w:t>
            </w:r>
          </w:p>
        </w:tc>
      </w:tr>
      <w:tr w14:paraId="6A6C5E5E">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14:paraId="39CEE8E6">
            <w:pPr>
              <w:snapToGrid w:val="0"/>
              <w:jc w:val="center"/>
              <w:rPr>
                <w:rStyle w:val="10"/>
                <w:rFonts w:eastAsia="仿宋_GB2312"/>
                <w:kern w:val="0"/>
                <w:sz w:val="24"/>
              </w:rPr>
            </w:pPr>
            <w:r>
              <w:rPr>
                <w:rStyle w:val="10"/>
                <w:rFonts w:eastAsia="仿宋_GB2312"/>
                <w:kern w:val="0"/>
                <w:sz w:val="24"/>
              </w:rPr>
              <w:t>2</w:t>
            </w:r>
          </w:p>
        </w:tc>
        <w:tc>
          <w:tcPr>
            <w:tcW w:w="4240" w:type="dxa"/>
            <w:tcBorders>
              <w:top w:val="nil"/>
              <w:left w:val="nil"/>
              <w:bottom w:val="single" w:color="000000" w:sz="4" w:space="0"/>
              <w:right w:val="single" w:color="000000" w:sz="4" w:space="0"/>
            </w:tcBorders>
            <w:vAlign w:val="center"/>
          </w:tcPr>
          <w:p w14:paraId="7374E6AE">
            <w:pPr>
              <w:snapToGrid w:val="0"/>
              <w:jc w:val="left"/>
              <w:rPr>
                <w:rStyle w:val="10"/>
                <w:rFonts w:eastAsia="仿宋_GB2312"/>
                <w:kern w:val="0"/>
                <w:sz w:val="24"/>
              </w:rPr>
            </w:pPr>
            <w:r>
              <w:rPr>
                <w:rStyle w:val="10"/>
                <w:rFonts w:eastAsia="仿宋_GB2312"/>
                <w:kern w:val="0"/>
                <w:sz w:val="24"/>
              </w:rPr>
              <w:t>内蒙古自治区锡林浩特市吉日嘎郎图凹陷中段一区地热资源普查</w:t>
            </w:r>
          </w:p>
        </w:tc>
        <w:tc>
          <w:tcPr>
            <w:tcW w:w="918" w:type="dxa"/>
            <w:tcBorders>
              <w:top w:val="nil"/>
              <w:left w:val="nil"/>
              <w:bottom w:val="single" w:color="000000" w:sz="4" w:space="0"/>
              <w:right w:val="single" w:color="000000" w:sz="4" w:space="0"/>
            </w:tcBorders>
            <w:vAlign w:val="center"/>
          </w:tcPr>
          <w:p w14:paraId="36303F53">
            <w:pPr>
              <w:snapToGrid w:val="0"/>
              <w:jc w:val="center"/>
              <w:rPr>
                <w:rStyle w:val="10"/>
                <w:rFonts w:eastAsia="仿宋_GB2312"/>
                <w:kern w:val="0"/>
                <w:sz w:val="24"/>
              </w:rPr>
            </w:pPr>
            <w:r>
              <w:rPr>
                <w:rStyle w:val="10"/>
                <w:rFonts w:eastAsia="仿宋_GB2312"/>
                <w:kern w:val="0"/>
                <w:sz w:val="24"/>
              </w:rPr>
              <w:t>地热</w:t>
            </w:r>
          </w:p>
        </w:tc>
        <w:tc>
          <w:tcPr>
            <w:tcW w:w="1303" w:type="dxa"/>
            <w:tcBorders>
              <w:top w:val="nil"/>
              <w:left w:val="nil"/>
              <w:bottom w:val="single" w:color="000000" w:sz="4" w:space="0"/>
              <w:right w:val="single" w:color="000000" w:sz="4" w:space="0"/>
            </w:tcBorders>
            <w:vAlign w:val="center"/>
          </w:tcPr>
          <w:p w14:paraId="31C0D9ED">
            <w:pPr>
              <w:snapToGrid w:val="0"/>
              <w:jc w:val="center"/>
              <w:rPr>
                <w:rStyle w:val="10"/>
                <w:rFonts w:eastAsia="仿宋_GB2312"/>
                <w:kern w:val="0"/>
                <w:sz w:val="24"/>
              </w:rPr>
            </w:pPr>
            <w:r>
              <w:rPr>
                <w:rStyle w:val="10"/>
                <w:rFonts w:eastAsia="仿宋_GB2312"/>
                <w:kern w:val="0"/>
                <w:sz w:val="24"/>
              </w:rPr>
              <w:t>30.56</w:t>
            </w:r>
          </w:p>
        </w:tc>
        <w:tc>
          <w:tcPr>
            <w:tcW w:w="1293" w:type="dxa"/>
            <w:tcBorders>
              <w:top w:val="nil"/>
              <w:left w:val="nil"/>
              <w:bottom w:val="single" w:color="000000" w:sz="4" w:space="0"/>
              <w:right w:val="single" w:color="000000" w:sz="4" w:space="0"/>
            </w:tcBorders>
            <w:vAlign w:val="center"/>
          </w:tcPr>
          <w:p w14:paraId="53B19750">
            <w:pPr>
              <w:snapToGrid w:val="0"/>
              <w:jc w:val="center"/>
              <w:rPr>
                <w:rStyle w:val="10"/>
                <w:rFonts w:eastAsia="仿宋_GB2312"/>
                <w:kern w:val="0"/>
                <w:sz w:val="24"/>
              </w:rPr>
            </w:pPr>
            <w:r>
              <w:rPr>
                <w:rStyle w:val="10"/>
                <w:rFonts w:eastAsia="仿宋_GB2312"/>
                <w:kern w:val="0"/>
                <w:sz w:val="24"/>
              </w:rPr>
              <w:t>详查</w:t>
            </w:r>
          </w:p>
        </w:tc>
      </w:tr>
      <w:tr w14:paraId="4ABF4EE1">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14:paraId="1B85733E">
            <w:pPr>
              <w:snapToGrid w:val="0"/>
              <w:jc w:val="center"/>
              <w:rPr>
                <w:rStyle w:val="10"/>
                <w:rFonts w:eastAsia="仿宋_GB2312"/>
                <w:kern w:val="0"/>
                <w:sz w:val="24"/>
              </w:rPr>
            </w:pPr>
            <w:r>
              <w:rPr>
                <w:rStyle w:val="10"/>
                <w:rFonts w:eastAsia="仿宋_GB2312"/>
                <w:kern w:val="0"/>
                <w:sz w:val="24"/>
              </w:rPr>
              <w:t>3</w:t>
            </w:r>
          </w:p>
        </w:tc>
        <w:tc>
          <w:tcPr>
            <w:tcW w:w="4240" w:type="dxa"/>
            <w:tcBorders>
              <w:top w:val="nil"/>
              <w:left w:val="nil"/>
              <w:bottom w:val="single" w:color="000000" w:sz="4" w:space="0"/>
              <w:right w:val="single" w:color="000000" w:sz="4" w:space="0"/>
            </w:tcBorders>
            <w:vAlign w:val="center"/>
          </w:tcPr>
          <w:p w14:paraId="5ECF662A">
            <w:pPr>
              <w:snapToGrid w:val="0"/>
              <w:jc w:val="left"/>
              <w:rPr>
                <w:rStyle w:val="10"/>
                <w:rFonts w:eastAsia="仿宋_GB2312"/>
                <w:kern w:val="0"/>
                <w:sz w:val="24"/>
              </w:rPr>
            </w:pPr>
            <w:r>
              <w:rPr>
                <w:rStyle w:val="10"/>
                <w:rFonts w:eastAsia="仿宋_GB2312"/>
                <w:kern w:val="0"/>
                <w:sz w:val="24"/>
              </w:rPr>
              <w:t>内蒙古自治区锡林浩特市舒特诺尔地区地热资源1区普查</w:t>
            </w:r>
          </w:p>
        </w:tc>
        <w:tc>
          <w:tcPr>
            <w:tcW w:w="918" w:type="dxa"/>
            <w:tcBorders>
              <w:top w:val="nil"/>
              <w:left w:val="nil"/>
              <w:bottom w:val="single" w:color="000000" w:sz="4" w:space="0"/>
              <w:right w:val="single" w:color="000000" w:sz="4" w:space="0"/>
            </w:tcBorders>
            <w:vAlign w:val="center"/>
          </w:tcPr>
          <w:p w14:paraId="1FFC0978">
            <w:pPr>
              <w:snapToGrid w:val="0"/>
              <w:jc w:val="center"/>
              <w:rPr>
                <w:rStyle w:val="10"/>
                <w:rFonts w:eastAsia="仿宋_GB2312"/>
                <w:kern w:val="0"/>
                <w:sz w:val="24"/>
              </w:rPr>
            </w:pPr>
            <w:r>
              <w:rPr>
                <w:rStyle w:val="10"/>
                <w:rFonts w:eastAsia="仿宋_GB2312"/>
                <w:kern w:val="0"/>
                <w:sz w:val="24"/>
              </w:rPr>
              <w:t>地热</w:t>
            </w:r>
          </w:p>
        </w:tc>
        <w:tc>
          <w:tcPr>
            <w:tcW w:w="1303" w:type="dxa"/>
            <w:tcBorders>
              <w:top w:val="nil"/>
              <w:left w:val="nil"/>
              <w:bottom w:val="single" w:color="000000" w:sz="4" w:space="0"/>
              <w:right w:val="single" w:color="000000" w:sz="4" w:space="0"/>
            </w:tcBorders>
            <w:vAlign w:val="center"/>
          </w:tcPr>
          <w:p w14:paraId="367B9BD8">
            <w:pPr>
              <w:snapToGrid w:val="0"/>
              <w:jc w:val="center"/>
              <w:rPr>
                <w:rStyle w:val="10"/>
                <w:rFonts w:eastAsia="仿宋_GB2312"/>
                <w:kern w:val="0"/>
                <w:sz w:val="24"/>
              </w:rPr>
            </w:pPr>
            <w:r>
              <w:rPr>
                <w:rStyle w:val="10"/>
                <w:rFonts w:eastAsia="仿宋_GB2312"/>
                <w:kern w:val="0"/>
                <w:sz w:val="24"/>
              </w:rPr>
              <w:t>74.92</w:t>
            </w:r>
          </w:p>
        </w:tc>
        <w:tc>
          <w:tcPr>
            <w:tcW w:w="1293" w:type="dxa"/>
            <w:tcBorders>
              <w:top w:val="nil"/>
              <w:left w:val="nil"/>
              <w:bottom w:val="single" w:color="000000" w:sz="4" w:space="0"/>
              <w:right w:val="single" w:color="000000" w:sz="4" w:space="0"/>
            </w:tcBorders>
            <w:vAlign w:val="center"/>
          </w:tcPr>
          <w:p w14:paraId="0E5A1D63">
            <w:pPr>
              <w:snapToGrid w:val="0"/>
              <w:jc w:val="center"/>
              <w:rPr>
                <w:rStyle w:val="10"/>
                <w:rFonts w:eastAsia="仿宋_GB2312"/>
                <w:kern w:val="0"/>
                <w:sz w:val="24"/>
              </w:rPr>
            </w:pPr>
            <w:r>
              <w:rPr>
                <w:rStyle w:val="10"/>
                <w:rFonts w:eastAsia="仿宋_GB2312"/>
                <w:kern w:val="0"/>
                <w:sz w:val="24"/>
              </w:rPr>
              <w:t>详查</w:t>
            </w:r>
          </w:p>
        </w:tc>
      </w:tr>
      <w:tr w14:paraId="3A17D9CE">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14:paraId="660A4AA0">
            <w:pPr>
              <w:snapToGrid w:val="0"/>
              <w:jc w:val="center"/>
              <w:rPr>
                <w:rStyle w:val="10"/>
                <w:rFonts w:eastAsia="仿宋_GB2312"/>
                <w:kern w:val="0"/>
                <w:sz w:val="24"/>
              </w:rPr>
            </w:pPr>
            <w:r>
              <w:rPr>
                <w:rStyle w:val="10"/>
                <w:rFonts w:eastAsia="仿宋_GB2312"/>
                <w:kern w:val="0"/>
                <w:sz w:val="24"/>
              </w:rPr>
              <w:t>4</w:t>
            </w:r>
          </w:p>
        </w:tc>
        <w:tc>
          <w:tcPr>
            <w:tcW w:w="4240" w:type="dxa"/>
            <w:tcBorders>
              <w:top w:val="nil"/>
              <w:left w:val="nil"/>
              <w:bottom w:val="single" w:color="000000" w:sz="4" w:space="0"/>
              <w:right w:val="single" w:color="000000" w:sz="4" w:space="0"/>
            </w:tcBorders>
            <w:vAlign w:val="center"/>
          </w:tcPr>
          <w:p w14:paraId="2F4214FA">
            <w:pPr>
              <w:snapToGrid w:val="0"/>
              <w:jc w:val="left"/>
              <w:rPr>
                <w:rStyle w:val="10"/>
                <w:rFonts w:eastAsia="仿宋_GB2312"/>
                <w:kern w:val="0"/>
                <w:sz w:val="24"/>
              </w:rPr>
            </w:pPr>
            <w:r>
              <w:rPr>
                <w:rStyle w:val="10"/>
                <w:rFonts w:eastAsia="仿宋_GB2312"/>
                <w:kern w:val="0"/>
                <w:sz w:val="24"/>
              </w:rPr>
              <w:t>内蒙古自治区锡林浩特市舒特诺尔地区地热资源2区普查</w:t>
            </w:r>
          </w:p>
        </w:tc>
        <w:tc>
          <w:tcPr>
            <w:tcW w:w="918" w:type="dxa"/>
            <w:tcBorders>
              <w:top w:val="nil"/>
              <w:left w:val="nil"/>
              <w:bottom w:val="single" w:color="000000" w:sz="4" w:space="0"/>
              <w:right w:val="single" w:color="000000" w:sz="4" w:space="0"/>
            </w:tcBorders>
            <w:vAlign w:val="center"/>
          </w:tcPr>
          <w:p w14:paraId="78591E3E">
            <w:pPr>
              <w:snapToGrid w:val="0"/>
              <w:jc w:val="center"/>
              <w:rPr>
                <w:rStyle w:val="10"/>
                <w:rFonts w:eastAsia="仿宋_GB2312"/>
                <w:kern w:val="0"/>
                <w:sz w:val="24"/>
              </w:rPr>
            </w:pPr>
            <w:r>
              <w:rPr>
                <w:rStyle w:val="10"/>
                <w:rFonts w:eastAsia="仿宋_GB2312"/>
                <w:kern w:val="0"/>
                <w:sz w:val="24"/>
              </w:rPr>
              <w:t>地热</w:t>
            </w:r>
          </w:p>
        </w:tc>
        <w:tc>
          <w:tcPr>
            <w:tcW w:w="1303" w:type="dxa"/>
            <w:tcBorders>
              <w:top w:val="nil"/>
              <w:left w:val="nil"/>
              <w:bottom w:val="single" w:color="000000" w:sz="4" w:space="0"/>
              <w:right w:val="single" w:color="000000" w:sz="4" w:space="0"/>
            </w:tcBorders>
            <w:vAlign w:val="center"/>
          </w:tcPr>
          <w:p w14:paraId="53DC33EA">
            <w:pPr>
              <w:snapToGrid w:val="0"/>
              <w:jc w:val="center"/>
              <w:rPr>
                <w:rStyle w:val="10"/>
                <w:rFonts w:eastAsia="仿宋_GB2312"/>
                <w:kern w:val="0"/>
                <w:sz w:val="24"/>
              </w:rPr>
            </w:pPr>
            <w:r>
              <w:rPr>
                <w:rStyle w:val="10"/>
                <w:rFonts w:eastAsia="仿宋_GB2312"/>
                <w:kern w:val="0"/>
                <w:sz w:val="24"/>
              </w:rPr>
              <w:t>35.46</w:t>
            </w:r>
          </w:p>
        </w:tc>
        <w:tc>
          <w:tcPr>
            <w:tcW w:w="1293" w:type="dxa"/>
            <w:tcBorders>
              <w:top w:val="nil"/>
              <w:left w:val="nil"/>
              <w:bottom w:val="single" w:color="000000" w:sz="4" w:space="0"/>
              <w:right w:val="single" w:color="000000" w:sz="4" w:space="0"/>
            </w:tcBorders>
            <w:vAlign w:val="center"/>
          </w:tcPr>
          <w:p w14:paraId="6E82AEDE">
            <w:pPr>
              <w:snapToGrid w:val="0"/>
              <w:jc w:val="center"/>
              <w:rPr>
                <w:rStyle w:val="10"/>
                <w:rFonts w:eastAsia="仿宋_GB2312"/>
                <w:kern w:val="0"/>
                <w:sz w:val="24"/>
              </w:rPr>
            </w:pPr>
            <w:r>
              <w:rPr>
                <w:rStyle w:val="10"/>
                <w:rFonts w:eastAsia="仿宋_GB2312"/>
                <w:kern w:val="0"/>
                <w:sz w:val="24"/>
              </w:rPr>
              <w:t>详查</w:t>
            </w:r>
          </w:p>
        </w:tc>
      </w:tr>
      <w:tr w14:paraId="4BB387B3">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14:paraId="38023AF3">
            <w:pPr>
              <w:snapToGrid w:val="0"/>
              <w:jc w:val="center"/>
              <w:rPr>
                <w:rStyle w:val="10"/>
                <w:rFonts w:eastAsia="仿宋_GB2312"/>
                <w:kern w:val="0"/>
                <w:sz w:val="24"/>
              </w:rPr>
            </w:pPr>
            <w:r>
              <w:rPr>
                <w:rStyle w:val="10"/>
                <w:rFonts w:eastAsia="仿宋_GB2312"/>
                <w:kern w:val="0"/>
                <w:sz w:val="24"/>
              </w:rPr>
              <w:t>5</w:t>
            </w:r>
          </w:p>
        </w:tc>
        <w:tc>
          <w:tcPr>
            <w:tcW w:w="4240" w:type="dxa"/>
            <w:tcBorders>
              <w:top w:val="nil"/>
              <w:left w:val="nil"/>
              <w:bottom w:val="single" w:color="000000" w:sz="4" w:space="0"/>
              <w:right w:val="single" w:color="000000" w:sz="4" w:space="0"/>
            </w:tcBorders>
            <w:vAlign w:val="center"/>
          </w:tcPr>
          <w:p w14:paraId="53CE1927">
            <w:pPr>
              <w:snapToGrid w:val="0"/>
              <w:jc w:val="left"/>
              <w:rPr>
                <w:rStyle w:val="10"/>
                <w:rFonts w:eastAsia="仿宋_GB2312"/>
                <w:kern w:val="0"/>
                <w:sz w:val="24"/>
              </w:rPr>
            </w:pPr>
            <w:r>
              <w:rPr>
                <w:rStyle w:val="10"/>
                <w:rFonts w:eastAsia="仿宋_GB2312"/>
                <w:kern w:val="0"/>
                <w:sz w:val="24"/>
              </w:rPr>
              <w:t>内蒙古自治区锡林浩特市阿尔善布拉格地区矿泉水普查</w:t>
            </w:r>
          </w:p>
        </w:tc>
        <w:tc>
          <w:tcPr>
            <w:tcW w:w="918" w:type="dxa"/>
            <w:tcBorders>
              <w:top w:val="nil"/>
              <w:left w:val="nil"/>
              <w:bottom w:val="single" w:color="000000" w:sz="4" w:space="0"/>
              <w:right w:val="single" w:color="000000" w:sz="4" w:space="0"/>
            </w:tcBorders>
            <w:vAlign w:val="center"/>
          </w:tcPr>
          <w:p w14:paraId="0850804D">
            <w:pPr>
              <w:snapToGrid w:val="0"/>
              <w:jc w:val="center"/>
              <w:rPr>
                <w:rStyle w:val="10"/>
                <w:rFonts w:eastAsia="仿宋_GB2312"/>
                <w:kern w:val="0"/>
                <w:sz w:val="24"/>
              </w:rPr>
            </w:pPr>
            <w:r>
              <w:rPr>
                <w:rStyle w:val="10"/>
                <w:rFonts w:eastAsia="仿宋_GB2312"/>
                <w:kern w:val="0"/>
                <w:sz w:val="24"/>
              </w:rPr>
              <w:t>矿泉水</w:t>
            </w:r>
          </w:p>
        </w:tc>
        <w:tc>
          <w:tcPr>
            <w:tcW w:w="1303" w:type="dxa"/>
            <w:tcBorders>
              <w:top w:val="nil"/>
              <w:left w:val="nil"/>
              <w:bottom w:val="single" w:color="000000" w:sz="4" w:space="0"/>
              <w:right w:val="single" w:color="000000" w:sz="4" w:space="0"/>
            </w:tcBorders>
            <w:vAlign w:val="center"/>
          </w:tcPr>
          <w:p w14:paraId="7210F412">
            <w:pPr>
              <w:snapToGrid w:val="0"/>
              <w:jc w:val="center"/>
              <w:rPr>
                <w:rStyle w:val="10"/>
                <w:rFonts w:eastAsia="仿宋_GB2312"/>
                <w:kern w:val="0"/>
                <w:sz w:val="24"/>
              </w:rPr>
            </w:pPr>
            <w:r>
              <w:rPr>
                <w:rStyle w:val="10"/>
                <w:rFonts w:eastAsia="仿宋_GB2312"/>
                <w:kern w:val="0"/>
                <w:sz w:val="24"/>
              </w:rPr>
              <w:t>24.53</w:t>
            </w:r>
          </w:p>
        </w:tc>
        <w:tc>
          <w:tcPr>
            <w:tcW w:w="1293" w:type="dxa"/>
            <w:tcBorders>
              <w:top w:val="nil"/>
              <w:left w:val="nil"/>
              <w:bottom w:val="single" w:color="000000" w:sz="4" w:space="0"/>
              <w:right w:val="single" w:color="000000" w:sz="4" w:space="0"/>
            </w:tcBorders>
            <w:vAlign w:val="center"/>
          </w:tcPr>
          <w:p w14:paraId="2B03FF30">
            <w:pPr>
              <w:snapToGrid w:val="0"/>
              <w:jc w:val="center"/>
              <w:rPr>
                <w:rStyle w:val="10"/>
                <w:rFonts w:eastAsia="仿宋_GB2312"/>
                <w:kern w:val="0"/>
                <w:sz w:val="24"/>
              </w:rPr>
            </w:pPr>
            <w:r>
              <w:rPr>
                <w:rStyle w:val="10"/>
                <w:rFonts w:eastAsia="仿宋_GB2312"/>
                <w:kern w:val="0"/>
                <w:sz w:val="24"/>
              </w:rPr>
              <w:t>详查</w:t>
            </w:r>
          </w:p>
        </w:tc>
      </w:tr>
    </w:tbl>
    <w:p w14:paraId="63CFC664">
      <w:pPr>
        <w:spacing w:line="360" w:lineRule="auto"/>
        <w:ind w:firstLine="640" w:firstLineChars="200"/>
        <w:rPr>
          <w:rStyle w:val="10"/>
          <w:rFonts w:ascii="宋体" w:hAnsi="宋体" w:eastAsia="仿宋_GB2312" w:cs="Calibri"/>
          <w:bCs/>
          <w:sz w:val="32"/>
          <w:szCs w:val="28"/>
        </w:rPr>
      </w:pPr>
    </w:p>
    <w:p w14:paraId="2902AB35">
      <w:pPr>
        <w:pStyle w:val="15"/>
        <w:spacing w:before="156" w:after="156" w:line="640" w:lineRule="exact"/>
        <w:ind w:firstLine="640" w:firstLineChars="200"/>
        <w:outlineLvl w:val="2"/>
        <w:rPr>
          <w:rStyle w:val="10"/>
          <w:rFonts w:ascii="黑体" w:eastAsia="黑体"/>
          <w:b w:val="0"/>
          <w:szCs w:val="28"/>
        </w:rPr>
      </w:pPr>
      <w:r>
        <w:rPr>
          <w:rStyle w:val="10"/>
          <w:rFonts w:ascii="黑体" w:eastAsia="黑体"/>
          <w:b w:val="0"/>
          <w:szCs w:val="28"/>
        </w:rPr>
        <w:t>二、开采规划区块的划定</w:t>
      </w:r>
    </w:p>
    <w:p w14:paraId="5DF67B23">
      <w:pPr>
        <w:spacing w:line="360" w:lineRule="auto"/>
        <w:ind w:firstLine="614" w:firstLineChars="192"/>
        <w:rPr>
          <w:rStyle w:val="10"/>
          <w:rFonts w:ascii="宋体" w:hAnsi="宋体" w:eastAsia="仿宋_GB2312" w:cs="Calibri"/>
          <w:bCs/>
          <w:sz w:val="32"/>
          <w:szCs w:val="28"/>
        </w:rPr>
      </w:pPr>
      <w:r>
        <w:rPr>
          <w:rStyle w:val="10"/>
          <w:rFonts w:ascii="宋体" w:hAnsi="宋体" w:eastAsia="仿宋_GB2312" w:cs="Calibri"/>
          <w:bCs/>
          <w:sz w:val="32"/>
          <w:szCs w:val="28"/>
        </w:rPr>
        <w:t>本级未划定普通建筑材料用砂石土矿开采规划区块，新上此类矿产的采矿权，优先在集中开采区设立。本次落实上级规划划定的开采规划区块2个，均为地下水，开采总面积为154.27平方千米。</w:t>
      </w:r>
    </w:p>
    <w:p w14:paraId="5A733B0D">
      <w:pPr>
        <w:spacing w:line="360" w:lineRule="auto"/>
        <w:ind w:firstLine="562" w:firstLineChars="200"/>
        <w:jc w:val="center"/>
        <w:rPr>
          <w:rStyle w:val="10"/>
          <w:rFonts w:ascii="仿宋_GB2312" w:hAnsi="宋体" w:eastAsia="仿宋_GB2312"/>
          <w:b/>
          <w:sz w:val="28"/>
          <w:szCs w:val="28"/>
        </w:rPr>
      </w:pPr>
      <w:r>
        <w:rPr>
          <w:rStyle w:val="10"/>
          <w:rFonts w:ascii="仿宋_GB2312" w:hAnsi="宋体" w:eastAsia="仿宋_GB2312"/>
          <w:b/>
          <w:sz w:val="28"/>
          <w:szCs w:val="28"/>
        </w:rPr>
        <w:t>专栏8  开采规划区块</w:t>
      </w:r>
    </w:p>
    <w:tbl>
      <w:tblPr>
        <w:tblStyle w:val="7"/>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
        <w:gridCol w:w="4037"/>
        <w:gridCol w:w="1671"/>
        <w:gridCol w:w="2064"/>
      </w:tblGrid>
      <w:tr w14:paraId="486EF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2EA6F94">
            <w:pPr>
              <w:jc w:val="center"/>
              <w:rPr>
                <w:rStyle w:val="10"/>
                <w:rFonts w:eastAsia="仿宋_GB2312" w:cs="Calibri"/>
                <w:b/>
                <w:bCs/>
                <w:kern w:val="0"/>
                <w:sz w:val="24"/>
              </w:rPr>
            </w:pPr>
            <w:r>
              <w:rPr>
                <w:rStyle w:val="10"/>
                <w:rFonts w:eastAsia="仿宋_GB2312" w:cs="Calibri"/>
                <w:b/>
                <w:bCs/>
                <w:kern w:val="0"/>
                <w:sz w:val="24"/>
              </w:rPr>
              <w:t>序号</w:t>
            </w:r>
          </w:p>
        </w:tc>
        <w:tc>
          <w:tcPr>
            <w:tcW w:w="403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FE05505">
            <w:pPr>
              <w:jc w:val="center"/>
              <w:rPr>
                <w:rStyle w:val="10"/>
                <w:rFonts w:eastAsia="仿宋_GB2312" w:cs="Calibri"/>
                <w:b/>
                <w:bCs/>
                <w:kern w:val="0"/>
                <w:sz w:val="24"/>
              </w:rPr>
            </w:pPr>
            <w:r>
              <w:rPr>
                <w:rStyle w:val="10"/>
                <w:rFonts w:eastAsia="仿宋_GB2312" w:cs="Calibri"/>
                <w:b/>
                <w:bCs/>
                <w:kern w:val="0"/>
                <w:sz w:val="24"/>
              </w:rPr>
              <w:t>区块名称</w:t>
            </w:r>
          </w:p>
        </w:tc>
        <w:tc>
          <w:tcPr>
            <w:tcW w:w="167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437E65B">
            <w:pPr>
              <w:jc w:val="center"/>
              <w:rPr>
                <w:rStyle w:val="10"/>
                <w:rFonts w:eastAsia="仿宋_GB2312" w:cs="Calibri"/>
                <w:b/>
                <w:bCs/>
                <w:kern w:val="0"/>
                <w:sz w:val="24"/>
              </w:rPr>
            </w:pPr>
            <w:r>
              <w:rPr>
                <w:rStyle w:val="10"/>
                <w:rFonts w:eastAsia="仿宋_GB2312" w:cs="Calibri"/>
                <w:b/>
                <w:bCs/>
                <w:kern w:val="0"/>
                <w:sz w:val="24"/>
              </w:rPr>
              <w:t>开采主矿种</w:t>
            </w:r>
          </w:p>
        </w:tc>
        <w:tc>
          <w:tcPr>
            <w:tcW w:w="206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B65F738">
            <w:pPr>
              <w:jc w:val="center"/>
              <w:rPr>
                <w:rStyle w:val="10"/>
                <w:rFonts w:eastAsia="仿宋_GB2312" w:cs="Calibri"/>
                <w:b/>
                <w:bCs/>
                <w:kern w:val="0"/>
                <w:sz w:val="24"/>
              </w:rPr>
            </w:pPr>
            <w:r>
              <w:rPr>
                <w:rStyle w:val="10"/>
                <w:rFonts w:eastAsia="仿宋_GB2312" w:cs="Calibri"/>
                <w:b/>
                <w:bCs/>
                <w:kern w:val="0"/>
                <w:sz w:val="24"/>
              </w:rPr>
              <w:t>面积（平方千米）</w:t>
            </w:r>
          </w:p>
        </w:tc>
      </w:tr>
      <w:tr w14:paraId="0B682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62FA189">
            <w:pPr>
              <w:jc w:val="center"/>
              <w:rPr>
                <w:rStyle w:val="10"/>
                <w:rFonts w:eastAsia="仿宋_GB2312"/>
                <w:color w:val="000000"/>
                <w:kern w:val="0"/>
                <w:sz w:val="24"/>
              </w:rPr>
            </w:pPr>
            <w:r>
              <w:rPr>
                <w:rStyle w:val="10"/>
                <w:rFonts w:eastAsia="仿宋_GB2312"/>
                <w:color w:val="000000"/>
                <w:kern w:val="0"/>
                <w:sz w:val="24"/>
              </w:rPr>
              <w:t>1</w:t>
            </w:r>
          </w:p>
        </w:tc>
        <w:tc>
          <w:tcPr>
            <w:tcW w:w="4037" w:type="dxa"/>
            <w:tcBorders>
              <w:top w:val="single" w:color="000000" w:sz="4" w:space="0"/>
              <w:left w:val="single" w:color="000000" w:sz="4" w:space="0"/>
              <w:bottom w:val="single" w:color="000000" w:sz="4" w:space="0"/>
              <w:right w:val="single" w:color="000000" w:sz="4" w:space="0"/>
            </w:tcBorders>
            <w:vAlign w:val="center"/>
          </w:tcPr>
          <w:p w14:paraId="4091AD34">
            <w:pPr>
              <w:jc w:val="left"/>
              <w:rPr>
                <w:rStyle w:val="10"/>
                <w:rFonts w:eastAsia="仿宋_GB2312"/>
                <w:kern w:val="0"/>
                <w:sz w:val="24"/>
              </w:rPr>
            </w:pPr>
            <w:r>
              <w:rPr>
                <w:rStyle w:val="10"/>
                <w:rFonts w:eastAsia="仿宋_GB2312"/>
                <w:kern w:val="0"/>
                <w:sz w:val="24"/>
              </w:rPr>
              <w:t>内蒙古自治区锡林浩特市巴彦宝力格盆地（</w:t>
            </w:r>
            <w:r>
              <w:rPr>
                <w:rStyle w:val="10"/>
                <w:rFonts w:ascii="宋体" w:hAnsi="宋体"/>
                <w:kern w:val="0"/>
                <w:sz w:val="24"/>
              </w:rPr>
              <w:t>Ⅱ</w:t>
            </w:r>
            <w:r>
              <w:rPr>
                <w:rStyle w:val="10"/>
                <w:rFonts w:eastAsia="仿宋_GB2312"/>
                <w:kern w:val="0"/>
                <w:sz w:val="24"/>
              </w:rPr>
              <w:t>区）供水水源地质勘探</w:t>
            </w:r>
          </w:p>
        </w:tc>
        <w:tc>
          <w:tcPr>
            <w:tcW w:w="1671" w:type="dxa"/>
            <w:tcBorders>
              <w:top w:val="single" w:color="000000" w:sz="4" w:space="0"/>
              <w:left w:val="single" w:color="000000" w:sz="4" w:space="0"/>
              <w:bottom w:val="single" w:color="000000" w:sz="4" w:space="0"/>
              <w:right w:val="single" w:color="000000" w:sz="4" w:space="0"/>
            </w:tcBorders>
            <w:vAlign w:val="center"/>
          </w:tcPr>
          <w:p w14:paraId="5EF95A43">
            <w:pPr>
              <w:jc w:val="center"/>
              <w:rPr>
                <w:rStyle w:val="10"/>
                <w:rFonts w:eastAsia="仿宋_GB2312"/>
                <w:kern w:val="0"/>
                <w:sz w:val="24"/>
              </w:rPr>
            </w:pPr>
            <w:r>
              <w:rPr>
                <w:rStyle w:val="10"/>
                <w:rFonts w:eastAsia="仿宋_GB2312"/>
                <w:kern w:val="0"/>
                <w:sz w:val="24"/>
              </w:rPr>
              <w:t>地下水</w:t>
            </w:r>
          </w:p>
        </w:tc>
        <w:tc>
          <w:tcPr>
            <w:tcW w:w="2064" w:type="dxa"/>
            <w:tcBorders>
              <w:top w:val="single" w:color="000000" w:sz="4" w:space="0"/>
              <w:left w:val="single" w:color="000000" w:sz="4" w:space="0"/>
              <w:bottom w:val="single" w:color="000000" w:sz="4" w:space="0"/>
              <w:right w:val="single" w:color="000000" w:sz="4" w:space="0"/>
            </w:tcBorders>
            <w:vAlign w:val="center"/>
          </w:tcPr>
          <w:p w14:paraId="31A4201F">
            <w:pPr>
              <w:jc w:val="center"/>
              <w:rPr>
                <w:rStyle w:val="10"/>
                <w:rFonts w:eastAsia="仿宋_GB2312"/>
                <w:kern w:val="0"/>
                <w:sz w:val="24"/>
              </w:rPr>
            </w:pPr>
            <w:r>
              <w:rPr>
                <w:rStyle w:val="10"/>
                <w:rFonts w:eastAsia="仿宋_GB2312"/>
                <w:kern w:val="0"/>
                <w:sz w:val="24"/>
              </w:rPr>
              <w:t>105.91</w:t>
            </w:r>
          </w:p>
        </w:tc>
      </w:tr>
      <w:tr w14:paraId="7770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8953F99">
            <w:pPr>
              <w:jc w:val="center"/>
              <w:rPr>
                <w:rStyle w:val="10"/>
                <w:rFonts w:eastAsia="仿宋_GB2312"/>
                <w:color w:val="000000"/>
                <w:kern w:val="0"/>
                <w:sz w:val="24"/>
              </w:rPr>
            </w:pPr>
            <w:r>
              <w:rPr>
                <w:rStyle w:val="10"/>
                <w:rFonts w:eastAsia="仿宋_GB2312"/>
                <w:color w:val="000000"/>
                <w:kern w:val="0"/>
                <w:sz w:val="24"/>
              </w:rPr>
              <w:t>2</w:t>
            </w:r>
          </w:p>
        </w:tc>
        <w:tc>
          <w:tcPr>
            <w:tcW w:w="4037" w:type="dxa"/>
            <w:tcBorders>
              <w:top w:val="single" w:color="000000" w:sz="4" w:space="0"/>
              <w:left w:val="single" w:color="000000" w:sz="4" w:space="0"/>
              <w:bottom w:val="single" w:color="000000" w:sz="4" w:space="0"/>
              <w:right w:val="single" w:color="000000" w:sz="4" w:space="0"/>
            </w:tcBorders>
            <w:vAlign w:val="center"/>
          </w:tcPr>
          <w:p w14:paraId="3EF12855">
            <w:pPr>
              <w:jc w:val="left"/>
              <w:rPr>
                <w:rStyle w:val="10"/>
                <w:rFonts w:eastAsia="仿宋_GB2312"/>
                <w:kern w:val="0"/>
                <w:sz w:val="24"/>
              </w:rPr>
            </w:pPr>
            <w:r>
              <w:rPr>
                <w:rStyle w:val="10"/>
                <w:rFonts w:eastAsia="仿宋_GB2312"/>
                <w:kern w:val="0"/>
                <w:sz w:val="24"/>
              </w:rPr>
              <w:t>内蒙古自治区锡林浩特市巴彦宝力格盆地（</w:t>
            </w:r>
            <w:r>
              <w:rPr>
                <w:rStyle w:val="10"/>
                <w:rFonts w:ascii="宋体" w:hAnsi="宋体"/>
                <w:kern w:val="0"/>
                <w:sz w:val="24"/>
              </w:rPr>
              <w:t>Ⅰ</w:t>
            </w:r>
            <w:r>
              <w:rPr>
                <w:rStyle w:val="10"/>
                <w:rFonts w:eastAsia="仿宋_GB2312"/>
                <w:kern w:val="0"/>
                <w:sz w:val="24"/>
              </w:rPr>
              <w:t>区）供水水源地质勘探</w:t>
            </w:r>
          </w:p>
        </w:tc>
        <w:tc>
          <w:tcPr>
            <w:tcW w:w="1671" w:type="dxa"/>
            <w:tcBorders>
              <w:top w:val="single" w:color="000000" w:sz="4" w:space="0"/>
              <w:left w:val="single" w:color="000000" w:sz="4" w:space="0"/>
              <w:bottom w:val="single" w:color="000000" w:sz="4" w:space="0"/>
              <w:right w:val="single" w:color="000000" w:sz="4" w:space="0"/>
            </w:tcBorders>
            <w:vAlign w:val="center"/>
          </w:tcPr>
          <w:p w14:paraId="1DE418ED">
            <w:pPr>
              <w:jc w:val="center"/>
              <w:rPr>
                <w:rStyle w:val="10"/>
                <w:rFonts w:eastAsia="仿宋_GB2312"/>
                <w:kern w:val="0"/>
                <w:sz w:val="24"/>
              </w:rPr>
            </w:pPr>
            <w:r>
              <w:rPr>
                <w:rStyle w:val="10"/>
                <w:rFonts w:eastAsia="仿宋_GB2312"/>
                <w:kern w:val="0"/>
                <w:sz w:val="24"/>
              </w:rPr>
              <w:t>地下水</w:t>
            </w:r>
          </w:p>
        </w:tc>
        <w:tc>
          <w:tcPr>
            <w:tcW w:w="2064" w:type="dxa"/>
            <w:tcBorders>
              <w:top w:val="single" w:color="000000" w:sz="4" w:space="0"/>
              <w:left w:val="single" w:color="000000" w:sz="4" w:space="0"/>
              <w:bottom w:val="single" w:color="000000" w:sz="4" w:space="0"/>
              <w:right w:val="single" w:color="000000" w:sz="4" w:space="0"/>
            </w:tcBorders>
            <w:vAlign w:val="center"/>
          </w:tcPr>
          <w:p w14:paraId="5469897C">
            <w:pPr>
              <w:jc w:val="center"/>
              <w:rPr>
                <w:rStyle w:val="10"/>
                <w:rFonts w:eastAsia="仿宋_GB2312"/>
                <w:kern w:val="0"/>
                <w:sz w:val="24"/>
              </w:rPr>
            </w:pPr>
            <w:r>
              <w:rPr>
                <w:rStyle w:val="10"/>
                <w:rFonts w:eastAsia="仿宋_GB2312"/>
                <w:kern w:val="0"/>
                <w:sz w:val="24"/>
              </w:rPr>
              <w:t>48.36</w:t>
            </w:r>
          </w:p>
        </w:tc>
      </w:tr>
    </w:tbl>
    <w:p w14:paraId="6E45FC1F">
      <w:pPr>
        <w:spacing w:line="360" w:lineRule="auto"/>
        <w:ind w:firstLine="640" w:firstLineChars="200"/>
        <w:rPr>
          <w:rStyle w:val="10"/>
          <w:rFonts w:ascii="宋体" w:hAnsi="宋体" w:eastAsia="仿宋_GB2312" w:cs="Calibri"/>
          <w:bCs/>
          <w:sz w:val="32"/>
          <w:szCs w:val="28"/>
        </w:rPr>
      </w:pPr>
    </w:p>
    <w:p w14:paraId="4C8E2203">
      <w:pPr>
        <w:pStyle w:val="14"/>
        <w:spacing w:before="93" w:after="312" w:afterAutospacing="1" w:line="960" w:lineRule="exact"/>
        <w:jc w:val="center"/>
        <w:outlineLvl w:val="1"/>
        <w:rPr>
          <w:rStyle w:val="10"/>
          <w:rFonts w:ascii="宋体" w:hAnsi="宋体" w:eastAsia="仿宋_GB2312"/>
        </w:rPr>
      </w:pPr>
      <w:r>
        <w:rPr>
          <w:rStyle w:val="10"/>
          <w:rFonts w:ascii="宋体" w:hAnsi="宋体" w:eastAsia="仿宋_GB2312"/>
        </w:rPr>
        <w:t>第二节  矿产资源勘查开采监督管理</w:t>
      </w:r>
    </w:p>
    <w:p w14:paraId="58499993">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一、严格矿业权的设置</w:t>
      </w:r>
    </w:p>
    <w:p w14:paraId="66D39515">
      <w:pPr>
        <w:spacing w:line="360" w:lineRule="auto"/>
        <w:ind w:firstLine="640" w:firstLineChars="200"/>
        <w:rPr>
          <w:rStyle w:val="10"/>
          <w:rFonts w:ascii="仿宋_GB2312" w:eastAsia="仿宋_GB2312" w:cs="Calibri"/>
          <w:bCs/>
          <w:color w:val="000000"/>
          <w:kern w:val="0"/>
          <w:sz w:val="32"/>
          <w:szCs w:val="32"/>
        </w:rPr>
      </w:pPr>
      <w:r>
        <w:rPr>
          <w:rStyle w:val="10"/>
          <w:rFonts w:hAnsi="宋体" w:eastAsia="仿宋_GB2312" w:cs="Calibri"/>
          <w:bCs/>
          <w:sz w:val="32"/>
          <w:szCs w:val="28"/>
        </w:rPr>
        <w:t>本级新设建筑用砂石土采矿权优先安排在集中开采区内，矿权的设立必须符合开采准入条件，出让采矿权时明确具体开采范围与储量，可以整体开发的不得分割，严禁大矿小开，开采尽量不留边坡或少留边坡、禁止高陡边坡开采，将资源开发利用和矿山地质环境保护进行有机统一。</w:t>
      </w:r>
      <w:r>
        <w:rPr>
          <w:rStyle w:val="10"/>
          <w:rFonts w:ascii="仿宋_GB2312" w:eastAsia="仿宋_GB2312" w:cs="Calibri"/>
          <w:bCs/>
          <w:color w:val="000000"/>
          <w:kern w:val="0"/>
          <w:sz w:val="32"/>
          <w:szCs w:val="32"/>
        </w:rPr>
        <w:t>落实最严格的草原生态环境保护制度，在草原上严禁乱采滥挖和新上建筑用砂石土开发项目。</w:t>
      </w:r>
    </w:p>
    <w:p w14:paraId="06B9AEA6">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二、规范建筑用砂石土采矿权的出让管理</w:t>
      </w:r>
    </w:p>
    <w:p w14:paraId="7D18C46E">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全面推进建筑用砂石土采矿权以招拍挂等市场竞争方式公开出让，做到</w:t>
      </w:r>
      <w:r>
        <w:rPr>
          <w:rStyle w:val="10"/>
          <w:rFonts w:ascii="仿宋_GB2312" w:eastAsia="仿宋_GB2312" w:cs="Calibri"/>
          <w:bCs/>
          <w:color w:val="000000"/>
          <w:kern w:val="0"/>
          <w:sz w:val="32"/>
          <w:szCs w:val="32"/>
        </w:rPr>
        <w:t>公平交易，主动接受社会监督。</w:t>
      </w:r>
      <w:r>
        <w:rPr>
          <w:rStyle w:val="10"/>
          <w:rFonts w:hAnsi="宋体" w:eastAsia="仿宋_GB2312" w:cs="Calibri"/>
          <w:bCs/>
          <w:sz w:val="32"/>
          <w:szCs w:val="28"/>
        </w:rPr>
        <w:t>按照国家、自治区要求，积极探索建筑用砂石土采矿权的“净矿”出让，理顺出让规则、流程和方法，探索建立一套完整的“净矿”出让体制机制。</w:t>
      </w:r>
    </w:p>
    <w:p w14:paraId="0E861984">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三、加强矿产资源勘查开采的日常监督管理</w:t>
      </w:r>
    </w:p>
    <w:p w14:paraId="232FFBB2">
      <w:pPr>
        <w:tabs>
          <w:tab w:val="left" w:pos="720"/>
        </w:tabs>
        <w:ind w:firstLine="640"/>
        <w:rPr>
          <w:rStyle w:val="10"/>
          <w:rFonts w:hAnsi="宋体" w:eastAsia="仿宋_GB2312" w:cs="Calibri"/>
          <w:bCs/>
          <w:sz w:val="32"/>
          <w:szCs w:val="28"/>
        </w:rPr>
      </w:pPr>
      <w:r>
        <w:rPr>
          <w:rStyle w:val="10"/>
          <w:rFonts w:hAnsi="宋体" w:eastAsia="仿宋_GB2312" w:cs="Calibri"/>
          <w:bCs/>
          <w:sz w:val="32"/>
          <w:szCs w:val="28"/>
        </w:rPr>
        <w:t>做好本级矿业权人监管信息、处罚信息及荣誉信息的采集、录入和审核工作。指导督促矿业权人按时公示年度勘查开采信息，按照“双随机、一公开”要求，以不低于现有矿业权10%的比例抽查矿业权人公示的勘查开采年度信息，规范管理矿业权人监管名单、异常名录和严重违法名单，及时处理矿业权人异议和社会公众举报。统筹负责全市所有矿山储量动态监督管理，指导和监督矿山企业开展年度储量数据填报，对资源储量发生重大变化或存在可疑的，应组织开展现场实地核查，及时处理。加强矿产资源领域突出问题专项整治实地巡查，组织力量定期对现有矿山开展包片监督检查，促使生产矿山严格按照开发利用方案进行开采。重点对无证开采、超层越界、造成严重生态环境破坏、存在安全隐患违规生产等矿产资源乱象进行监督和巡查。</w:t>
      </w:r>
    </w:p>
    <w:p w14:paraId="415B543D">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四、做好矿业权的退出</w:t>
      </w:r>
    </w:p>
    <w:p w14:paraId="4D23B977">
      <w:pPr>
        <w:ind w:firstLine="640" w:firstLineChars="200"/>
        <w:rPr>
          <w:rStyle w:val="10"/>
          <w:rFonts w:hAnsi="宋体" w:eastAsia="仿宋_GB2312" w:cs="Calibri"/>
          <w:bCs/>
          <w:sz w:val="32"/>
          <w:szCs w:val="28"/>
        </w:rPr>
      </w:pPr>
      <w:r>
        <w:rPr>
          <w:rStyle w:val="10"/>
          <w:rFonts w:hAnsi="宋体" w:eastAsia="仿宋_GB2312" w:cs="Calibri"/>
          <w:bCs/>
          <w:sz w:val="32"/>
          <w:szCs w:val="28"/>
        </w:rPr>
        <w:t>采矿权到期应及时办理延续手续。</w:t>
      </w:r>
      <w:r>
        <w:rPr>
          <w:rStyle w:val="10"/>
          <w:rFonts w:ascii="仿宋_GB2312" w:hAnsi="仿宋_GB2312" w:eastAsia="仿宋_GB2312"/>
          <w:sz w:val="32"/>
          <w:szCs w:val="32"/>
        </w:rPr>
        <w:t>因不可抗力等非申请人自身原因无法按规定提交采矿权延续申请资料的，需提交相关证明材料。被旗县及以上地方人民政府（或部门）公告关闭退出的矿山，可直接注销采矿许可证并向社会公告。因政策调整需退出的矿业权，应依据相应退出补偿机制，依规对矿业权进行征收和补偿。</w:t>
      </w:r>
    </w:p>
    <w:p w14:paraId="3CEC618C">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第三节  严格开采准入条件</w:t>
      </w:r>
    </w:p>
    <w:p w14:paraId="4EACA73D">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一、严格资格准入条件</w:t>
      </w:r>
    </w:p>
    <w:p w14:paraId="768917E7">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新建矿山企业必须具备与矿山建设规模相适应的人才、技术、资金、设备和安全管理方面的资格水平。主管部门对其矿区范围、矿山建设设计方案、生产技术条件、安全措施和环境保护措施进行审查，经审查合格后可予批准。</w:t>
      </w:r>
    </w:p>
    <w:p w14:paraId="3DBE07D2">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二、严格规模准入条件</w:t>
      </w:r>
    </w:p>
    <w:p w14:paraId="328EC6B1">
      <w:pPr>
        <w:spacing w:line="360" w:lineRule="auto"/>
        <w:ind w:firstLine="640" w:firstLineChars="200"/>
        <w:rPr>
          <w:rStyle w:val="10"/>
          <w:rFonts w:ascii="仿宋_GB2312" w:eastAsia="仿宋_GB2312" w:cs="Calibri"/>
          <w:bCs/>
          <w:kern w:val="0"/>
          <w:sz w:val="32"/>
          <w:szCs w:val="32"/>
        </w:rPr>
      </w:pPr>
      <w:r>
        <w:rPr>
          <w:rStyle w:val="10"/>
          <w:rFonts w:ascii="仿宋_GB2312" w:eastAsia="仿宋_GB2312" w:cs="Calibri"/>
          <w:bCs/>
          <w:kern w:val="0"/>
          <w:sz w:val="32"/>
          <w:szCs w:val="32"/>
        </w:rPr>
        <w:t>新建矿山开采规模不得低于规划划定标准，未划定标准的矿种应按国家标准采用中型下限，并与可供开采的矿产资源储量规模相适应，开采量要符合规划开采总量调控要求。</w:t>
      </w:r>
    </w:p>
    <w:p w14:paraId="71B6F6CC">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三、严格生态环境准入条件</w:t>
      </w:r>
    </w:p>
    <w:p w14:paraId="664662B8">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新建矿山必须严格执行环境影响评价制度和生态恢复措施。矿山的环境保护工程设施，必须与主体工程同时设计、同时施工、同时投产使用，并同步建设综合利用、排土场等相应设施。采矿权人必须依据相关规定编制矿山地质环境保护与土地复垦方案，并建立矿山地质环境治理恢复基金账户。</w:t>
      </w:r>
    </w:p>
    <w:p w14:paraId="13899673">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四、严格安全准入条件</w:t>
      </w:r>
    </w:p>
    <w:p w14:paraId="661B206F">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矿山建设和生产必须符合国家安全生产等法律法规规定及安全技术规程标准，具备相应的安全生产和职业危害防治条件，安全设施设计必须经过安全生产监督管理部门组织审查。新建矿山的安全设施和职业危害防治设施，必须与主体工程同时设计、同时施工、同时投入生产和使用。</w:t>
      </w:r>
    </w:p>
    <w:p w14:paraId="2C3B90A6">
      <w:pPr>
        <w:tabs>
          <w:tab w:val="left" w:pos="720"/>
        </w:tabs>
        <w:ind w:firstLine="640"/>
        <w:rPr>
          <w:rStyle w:val="10"/>
          <w:rFonts w:hAnsi="宋体" w:eastAsia="仿宋_GB2312" w:cs="Calibri"/>
          <w:bCs/>
          <w:sz w:val="32"/>
          <w:szCs w:val="28"/>
        </w:rPr>
      </w:pPr>
    </w:p>
    <w:p w14:paraId="3A74BD41">
      <w:pPr>
        <w:pStyle w:val="12"/>
        <w:rPr>
          <w:rStyle w:val="10"/>
        </w:rPr>
      </w:pPr>
    </w:p>
    <w:p w14:paraId="67147BFF">
      <w:pPr>
        <w:pStyle w:val="13"/>
        <w:spacing w:before="312" w:beforeAutospacing="1" w:after="312" w:afterAutospacing="1" w:line="1280" w:lineRule="exact"/>
        <w:jc w:val="center"/>
        <w:rPr>
          <w:rStyle w:val="10"/>
          <w:rFonts w:ascii="黑体" w:hAnsi="仿宋_GB2312" w:eastAsia="黑体"/>
          <w:sz w:val="32"/>
          <w:szCs w:val="32"/>
        </w:rPr>
        <w:sectPr>
          <w:pgSz w:w="11906" w:h="16838"/>
          <w:pgMar w:top="1440" w:right="1800" w:bottom="1440" w:left="1800" w:header="851" w:footer="992" w:gutter="0"/>
          <w:cols w:space="425" w:num="1"/>
          <w:docGrid w:type="lines" w:linePitch="312" w:charSpace="0"/>
        </w:sectPr>
      </w:pPr>
    </w:p>
    <w:p w14:paraId="2599C8D6">
      <w:pPr>
        <w:pStyle w:val="13"/>
        <w:spacing w:before="312" w:beforeAutospacing="1" w:after="312" w:afterAutospacing="1" w:line="1280" w:lineRule="exact"/>
        <w:jc w:val="center"/>
        <w:outlineLvl w:val="0"/>
        <w:rPr>
          <w:rStyle w:val="10"/>
          <w:rFonts w:ascii="黑体" w:hAnsi="仿宋_GB2312" w:eastAsia="黑体"/>
          <w:sz w:val="32"/>
          <w:szCs w:val="32"/>
        </w:rPr>
      </w:pPr>
      <w:r>
        <w:rPr>
          <w:rStyle w:val="10"/>
          <w:rFonts w:ascii="黑体" w:hAnsi="仿宋_GB2312" w:eastAsia="黑体"/>
          <w:sz w:val="32"/>
          <w:szCs w:val="32"/>
        </w:rPr>
        <w:t>第六章  绿色矿山建设与矿山地质环境治理</w:t>
      </w:r>
    </w:p>
    <w:p w14:paraId="2B2C9700">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全面推进绿色矿山建设</w:t>
      </w:r>
    </w:p>
    <w:p w14:paraId="540C91D8">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一、严格新建矿山准入标准</w:t>
      </w:r>
    </w:p>
    <w:p w14:paraId="191439E4">
      <w:pPr>
        <w:spacing w:line="360" w:lineRule="auto"/>
        <w:ind w:firstLine="640" w:firstLineChars="200"/>
        <w:rPr>
          <w:rStyle w:val="10"/>
          <w:rFonts w:eastAsia="仿宋_GB2312"/>
          <w:sz w:val="32"/>
          <w:szCs w:val="28"/>
        </w:rPr>
      </w:pPr>
      <w:r>
        <w:rPr>
          <w:rStyle w:val="10"/>
          <w:rFonts w:eastAsia="仿宋_GB2312"/>
          <w:sz w:val="32"/>
          <w:szCs w:val="28"/>
        </w:rPr>
        <w:t>新设立矿山执行绿色矿山建设标准，推动新建矿山按照绿色矿山标准进行规划、设计、建设和运营管理。新立采矿权出让过程中，对照绿色矿山建设要求和相关标准，在出让合同中明确开发方式、资源利用、矿山地质环境恢复治理与土地复垦等相关要求及违约责任。对未履行采矿权出让合同中绿色矿山建设任务的，按规定追究违约责任。</w:t>
      </w:r>
    </w:p>
    <w:p w14:paraId="2066A817">
      <w:pPr>
        <w:pStyle w:val="15"/>
        <w:numPr>
          <w:ilvl w:val="0"/>
          <w:numId w:val="1"/>
        </w:numPr>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推进在期矿山达标建设</w:t>
      </w:r>
    </w:p>
    <w:p w14:paraId="4700FA5C">
      <w:pPr>
        <w:spacing w:line="360" w:lineRule="auto"/>
        <w:ind w:firstLine="640" w:firstLineChars="200"/>
        <w:rPr>
          <w:rStyle w:val="10"/>
          <w:rFonts w:ascii="Times New Roman" w:hAnsi="Times New Roman" w:eastAsia="仿宋_GB2312"/>
          <w:sz w:val="32"/>
          <w:szCs w:val="28"/>
        </w:rPr>
      </w:pPr>
      <w:r>
        <w:rPr>
          <w:rStyle w:val="10"/>
          <w:rFonts w:eastAsia="仿宋_GB2312"/>
          <w:sz w:val="32"/>
          <w:szCs w:val="28"/>
        </w:rPr>
        <w:t>认真做好绿色矿山建设工作的总结、宣传和推广，利用已建成绿色矿山的经验和做法，积极引导管理创新能力相对较强的矿山进行绿色矿山建设</w:t>
      </w:r>
      <w:r>
        <w:rPr>
          <w:rStyle w:val="10"/>
          <w:rFonts w:ascii="Times New Roman" w:hAnsi="Times New Roman" w:eastAsia="仿宋_GB2312"/>
          <w:sz w:val="32"/>
          <w:szCs w:val="28"/>
        </w:rPr>
        <w:t>，以点带面、循序渐进，有序推进全市在期矿山的绿色矿山建设工作，力争在规划期内将胜利西二号露天煤矿、伊利勒特嘎查采石场等6个矿山建成绿色矿山。露天煤矿绿色矿山建设要求地面运煤系统、运输设备、煤炭贮存场所等做到全封闭；矿区生产生活形成的固体废弃物应设置专用堆积场所；煤炭开发应遵循矿区煤炭资源赋存状况、生态环境特征等条件，因地制宜选择资源利用率高、废物产生量小、水重复利用率高，且对矿区生态破坏小的减排保护开采技术。建筑用砂石矿绿色矿山建设要求矿山在生产过程中采取有效抑尘、降噪措施；矿山开采面、作业平台应干净整洁，规范美观；资源开发采用先进的工艺技术与装备，做到绿色开采、绿色生产、绿色存贮、绿色运输。各类绿色矿山建设均应贯彻“边开采、边治理、边恢复”的原则，及时治理恢复矿山地质环境，复垦矿山占用土地和损毁土地。</w:t>
      </w:r>
    </w:p>
    <w:p w14:paraId="124FAD1C">
      <w:pPr>
        <w:spacing w:line="360" w:lineRule="auto"/>
        <w:ind w:firstLine="562" w:firstLineChars="200"/>
        <w:jc w:val="center"/>
        <w:outlineLvl w:val="3"/>
        <w:rPr>
          <w:rStyle w:val="10"/>
          <w:rFonts w:ascii="仿宋_GB2312" w:hAnsi="宋体" w:eastAsia="仿宋_GB2312"/>
          <w:b/>
          <w:sz w:val="28"/>
          <w:szCs w:val="28"/>
        </w:rPr>
      </w:pPr>
      <w:r>
        <w:rPr>
          <w:rStyle w:val="10"/>
          <w:rFonts w:ascii="仿宋_GB2312" w:hAnsi="宋体" w:eastAsia="仿宋_GB2312"/>
          <w:b/>
          <w:sz w:val="28"/>
          <w:szCs w:val="28"/>
        </w:rPr>
        <w:t>专栏9  拟建成绿色矿山一览表</w:t>
      </w:r>
    </w:p>
    <w:tbl>
      <w:tblPr>
        <w:tblStyle w:val="7"/>
        <w:tblW w:w="8476" w:type="dxa"/>
        <w:jc w:val="center"/>
        <w:tblLayout w:type="autofit"/>
        <w:tblCellMar>
          <w:top w:w="0" w:type="dxa"/>
          <w:left w:w="0" w:type="dxa"/>
          <w:bottom w:w="0" w:type="dxa"/>
          <w:right w:w="0" w:type="dxa"/>
        </w:tblCellMar>
      </w:tblPr>
      <w:tblGrid>
        <w:gridCol w:w="682"/>
        <w:gridCol w:w="5129"/>
        <w:gridCol w:w="1537"/>
        <w:gridCol w:w="1128"/>
      </w:tblGrid>
      <w:tr w14:paraId="4CB9DFD5">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0022815">
            <w:pPr>
              <w:jc w:val="center"/>
              <w:textAlignment w:val="center"/>
              <w:rPr>
                <w:rStyle w:val="10"/>
                <w:rFonts w:ascii="仿宋_GB2312" w:hAnsi="宋体" w:eastAsia="仿宋_GB2312"/>
                <w:b/>
                <w:color w:val="000000"/>
                <w:sz w:val="24"/>
              </w:rPr>
            </w:pPr>
            <w:r>
              <w:rPr>
                <w:rStyle w:val="10"/>
                <w:rFonts w:ascii="仿宋_GB2312" w:hAnsi="宋体" w:eastAsia="仿宋_GB2312"/>
                <w:b/>
                <w:color w:val="000000"/>
                <w:sz w:val="24"/>
              </w:rPr>
              <w:t>序号</w:t>
            </w:r>
          </w:p>
        </w:tc>
        <w:tc>
          <w:tcPr>
            <w:tcW w:w="512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E3DF056">
            <w:pPr>
              <w:jc w:val="center"/>
              <w:textAlignment w:val="center"/>
              <w:rPr>
                <w:rStyle w:val="10"/>
                <w:rFonts w:ascii="仿宋_GB2312" w:hAnsi="宋体" w:eastAsia="仿宋_GB2312"/>
                <w:b/>
                <w:color w:val="000000"/>
                <w:sz w:val="24"/>
              </w:rPr>
            </w:pPr>
            <w:r>
              <w:rPr>
                <w:rStyle w:val="10"/>
                <w:rFonts w:ascii="仿宋_GB2312" w:hAnsi="宋体" w:eastAsia="仿宋_GB2312"/>
                <w:b/>
                <w:color w:val="000000"/>
                <w:sz w:val="24"/>
              </w:rPr>
              <w:t>矿山名称</w:t>
            </w:r>
          </w:p>
        </w:tc>
        <w:tc>
          <w:tcPr>
            <w:tcW w:w="153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D0079D0">
            <w:pPr>
              <w:jc w:val="center"/>
              <w:textAlignment w:val="center"/>
              <w:rPr>
                <w:rStyle w:val="10"/>
                <w:rFonts w:ascii="仿宋_GB2312" w:hAnsi="宋体" w:eastAsia="仿宋_GB2312"/>
                <w:b/>
                <w:color w:val="000000"/>
                <w:sz w:val="24"/>
              </w:rPr>
            </w:pPr>
            <w:r>
              <w:rPr>
                <w:rStyle w:val="10"/>
                <w:rFonts w:ascii="仿宋_GB2312" w:hAnsi="宋体" w:eastAsia="仿宋_GB2312"/>
                <w:b/>
                <w:color w:val="000000"/>
                <w:sz w:val="24"/>
              </w:rPr>
              <w:t>矿种</w:t>
            </w:r>
          </w:p>
        </w:tc>
        <w:tc>
          <w:tcPr>
            <w:tcW w:w="112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E76174B">
            <w:pPr>
              <w:jc w:val="center"/>
              <w:textAlignment w:val="center"/>
              <w:rPr>
                <w:rStyle w:val="10"/>
                <w:rFonts w:ascii="仿宋_GB2312" w:hAnsi="宋体" w:eastAsia="仿宋_GB2312"/>
                <w:b/>
                <w:color w:val="000000"/>
                <w:sz w:val="24"/>
              </w:rPr>
            </w:pPr>
            <w:r>
              <w:rPr>
                <w:rStyle w:val="10"/>
                <w:rFonts w:ascii="仿宋_GB2312" w:hAnsi="宋体" w:eastAsia="仿宋_GB2312"/>
                <w:b/>
                <w:color w:val="000000"/>
                <w:sz w:val="24"/>
              </w:rPr>
              <w:t>生产状态</w:t>
            </w:r>
          </w:p>
        </w:tc>
      </w:tr>
      <w:tr w14:paraId="01580678">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9D80F">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1</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41E24">
            <w:pPr>
              <w:rPr>
                <w:rStyle w:val="10"/>
                <w:rFonts w:ascii="仿宋_GB2312" w:eastAsia="仿宋_GB2312"/>
                <w:sz w:val="24"/>
              </w:rPr>
            </w:pPr>
            <w:r>
              <w:rPr>
                <w:rStyle w:val="10"/>
                <w:rFonts w:ascii="仿宋_GB2312" w:eastAsia="仿宋_GB2312"/>
                <w:sz w:val="24"/>
              </w:rPr>
              <w:t>内蒙古胜利矿区胜利西二号露天煤矿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5D7A4">
            <w:pPr>
              <w:jc w:val="center"/>
              <w:rPr>
                <w:rStyle w:val="10"/>
                <w:rFonts w:ascii="仿宋_GB2312" w:eastAsia="仿宋_GB2312"/>
                <w:sz w:val="24"/>
              </w:rPr>
            </w:pPr>
            <w:r>
              <w:rPr>
                <w:rStyle w:val="10"/>
                <w:rFonts w:ascii="仿宋_GB2312" w:eastAsia="仿宋_GB2312"/>
                <w:sz w:val="24"/>
              </w:rPr>
              <w:t>煤</w:t>
            </w:r>
          </w:p>
        </w:tc>
        <w:tc>
          <w:tcPr>
            <w:tcW w:w="1128" w:type="dxa"/>
            <w:tcBorders>
              <w:top w:val="single" w:color="000000" w:sz="4" w:space="0"/>
              <w:left w:val="single" w:color="000000" w:sz="4" w:space="0"/>
              <w:bottom w:val="single" w:color="000000" w:sz="4" w:space="0"/>
              <w:right w:val="single" w:color="000000" w:sz="4" w:space="0"/>
            </w:tcBorders>
            <w:vAlign w:val="center"/>
          </w:tcPr>
          <w:p w14:paraId="168C1B93">
            <w:pPr>
              <w:jc w:val="center"/>
              <w:rPr>
                <w:rStyle w:val="10"/>
                <w:rFonts w:ascii="仿宋_GB2312" w:eastAsia="仿宋_GB2312"/>
                <w:color w:val="000000"/>
                <w:kern w:val="0"/>
                <w:sz w:val="24"/>
              </w:rPr>
            </w:pPr>
            <w:r>
              <w:rPr>
                <w:rStyle w:val="10"/>
                <w:rFonts w:ascii="仿宋_GB2312" w:eastAsia="仿宋_GB2312"/>
                <w:color w:val="000000"/>
                <w:sz w:val="24"/>
              </w:rPr>
              <w:t>生产</w:t>
            </w:r>
          </w:p>
        </w:tc>
      </w:tr>
      <w:tr w14:paraId="19288DB5">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7ED02">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2</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EDDF7">
            <w:pPr>
              <w:jc w:val="left"/>
              <w:rPr>
                <w:rStyle w:val="10"/>
                <w:rFonts w:ascii="仿宋_GB2312" w:eastAsia="仿宋_GB2312"/>
                <w:color w:val="000000"/>
                <w:kern w:val="0"/>
                <w:sz w:val="24"/>
              </w:rPr>
            </w:pPr>
            <w:r>
              <w:rPr>
                <w:rStyle w:val="10"/>
                <w:rFonts w:ascii="仿宋_GB2312" w:eastAsia="仿宋_GB2312"/>
                <w:color w:val="000000"/>
                <w:sz w:val="24"/>
              </w:rPr>
              <w:t>大唐国际发电股份有限公司胜利东二号露天煤矿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FA5AE">
            <w:pPr>
              <w:jc w:val="center"/>
              <w:rPr>
                <w:rStyle w:val="10"/>
                <w:rFonts w:ascii="仿宋_GB2312" w:eastAsia="仿宋_GB2312"/>
                <w:color w:val="000000"/>
                <w:sz w:val="24"/>
              </w:rPr>
            </w:pPr>
            <w:r>
              <w:rPr>
                <w:rStyle w:val="10"/>
                <w:rFonts w:ascii="仿宋_GB2312" w:eastAsia="仿宋_GB2312"/>
                <w:color w:val="000000"/>
                <w:sz w:val="24"/>
              </w:rPr>
              <w:t>煤</w:t>
            </w:r>
          </w:p>
        </w:tc>
        <w:tc>
          <w:tcPr>
            <w:tcW w:w="1128" w:type="dxa"/>
            <w:tcBorders>
              <w:top w:val="single" w:color="000000" w:sz="4" w:space="0"/>
              <w:left w:val="single" w:color="000000" w:sz="4" w:space="0"/>
              <w:bottom w:val="single" w:color="000000" w:sz="4" w:space="0"/>
              <w:right w:val="single" w:color="000000" w:sz="4" w:space="0"/>
            </w:tcBorders>
            <w:vAlign w:val="center"/>
          </w:tcPr>
          <w:p w14:paraId="3A3966E2">
            <w:pPr>
              <w:jc w:val="center"/>
              <w:rPr>
                <w:rStyle w:val="10"/>
                <w:rFonts w:ascii="仿宋_GB2312" w:eastAsia="仿宋_GB2312"/>
                <w:color w:val="000000"/>
                <w:sz w:val="24"/>
              </w:rPr>
            </w:pPr>
            <w:r>
              <w:rPr>
                <w:rStyle w:val="10"/>
                <w:rFonts w:ascii="仿宋_GB2312" w:eastAsia="仿宋_GB2312"/>
                <w:color w:val="000000"/>
                <w:sz w:val="24"/>
              </w:rPr>
              <w:t>停产</w:t>
            </w:r>
          </w:p>
        </w:tc>
      </w:tr>
      <w:tr w14:paraId="598B6F17">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C8A3">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3</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FA5B5">
            <w:pPr>
              <w:rPr>
                <w:rStyle w:val="10"/>
                <w:rFonts w:ascii="仿宋_GB2312" w:eastAsia="仿宋_GB2312"/>
                <w:sz w:val="24"/>
              </w:rPr>
            </w:pPr>
            <w:r>
              <w:rPr>
                <w:rStyle w:val="10"/>
                <w:rFonts w:ascii="仿宋_GB2312" w:eastAsia="仿宋_GB2312"/>
                <w:sz w:val="24"/>
              </w:rPr>
              <w:t>内蒙古能源发电投资集团有限公司胜利西三号露天煤矿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3BBC5">
            <w:pPr>
              <w:jc w:val="center"/>
              <w:rPr>
                <w:rStyle w:val="10"/>
                <w:rFonts w:ascii="仿宋_GB2312" w:eastAsia="仿宋_GB2312"/>
                <w:sz w:val="24"/>
              </w:rPr>
            </w:pPr>
            <w:r>
              <w:rPr>
                <w:rStyle w:val="10"/>
                <w:rFonts w:ascii="仿宋_GB2312" w:eastAsia="仿宋_GB2312"/>
                <w:sz w:val="24"/>
              </w:rPr>
              <w:t>煤</w:t>
            </w:r>
          </w:p>
        </w:tc>
        <w:tc>
          <w:tcPr>
            <w:tcW w:w="1128" w:type="dxa"/>
            <w:tcBorders>
              <w:top w:val="single" w:color="000000" w:sz="4" w:space="0"/>
              <w:left w:val="single" w:color="000000" w:sz="4" w:space="0"/>
              <w:bottom w:val="single" w:color="000000" w:sz="4" w:space="0"/>
              <w:right w:val="single" w:color="000000" w:sz="4" w:space="0"/>
            </w:tcBorders>
            <w:vAlign w:val="center"/>
          </w:tcPr>
          <w:p w14:paraId="509C7603">
            <w:pPr>
              <w:jc w:val="center"/>
              <w:rPr>
                <w:rStyle w:val="10"/>
                <w:rFonts w:ascii="仿宋_GB2312" w:eastAsia="仿宋_GB2312"/>
                <w:color w:val="000000"/>
                <w:sz w:val="24"/>
              </w:rPr>
            </w:pPr>
            <w:r>
              <w:rPr>
                <w:rStyle w:val="10"/>
                <w:rFonts w:ascii="仿宋_GB2312" w:eastAsia="仿宋_GB2312"/>
                <w:color w:val="000000"/>
                <w:sz w:val="24"/>
              </w:rPr>
              <w:t>生产</w:t>
            </w:r>
          </w:p>
        </w:tc>
      </w:tr>
      <w:tr w14:paraId="322779E2">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23CBA">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4</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657D">
            <w:pPr>
              <w:rPr>
                <w:rStyle w:val="10"/>
                <w:rFonts w:ascii="仿宋_GB2312" w:eastAsia="仿宋_GB2312"/>
                <w:sz w:val="24"/>
              </w:rPr>
            </w:pPr>
            <w:r>
              <w:rPr>
                <w:rStyle w:val="10"/>
                <w:rFonts w:ascii="仿宋_GB2312" w:eastAsia="仿宋_GB2312"/>
                <w:sz w:val="24"/>
              </w:rPr>
              <w:t>锡林郭勒盟乌兰图嘎煤炭有限责任公司锗矿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F1C1F">
            <w:pPr>
              <w:jc w:val="center"/>
              <w:rPr>
                <w:rStyle w:val="10"/>
                <w:rFonts w:ascii="仿宋_GB2312" w:eastAsia="仿宋_GB2312"/>
                <w:sz w:val="24"/>
              </w:rPr>
            </w:pPr>
            <w:r>
              <w:rPr>
                <w:rStyle w:val="10"/>
                <w:rFonts w:ascii="仿宋_GB2312" w:eastAsia="仿宋_GB2312"/>
                <w:sz w:val="24"/>
              </w:rPr>
              <w:t>锗矿</w:t>
            </w:r>
          </w:p>
        </w:tc>
        <w:tc>
          <w:tcPr>
            <w:tcW w:w="1128" w:type="dxa"/>
            <w:tcBorders>
              <w:top w:val="single" w:color="000000" w:sz="4" w:space="0"/>
              <w:left w:val="single" w:color="000000" w:sz="4" w:space="0"/>
              <w:bottom w:val="single" w:color="000000" w:sz="4" w:space="0"/>
              <w:right w:val="single" w:color="000000" w:sz="4" w:space="0"/>
            </w:tcBorders>
            <w:vAlign w:val="center"/>
          </w:tcPr>
          <w:p w14:paraId="6EB9B05B">
            <w:pPr>
              <w:jc w:val="center"/>
              <w:rPr>
                <w:rStyle w:val="10"/>
                <w:rFonts w:ascii="仿宋_GB2312" w:eastAsia="仿宋_GB2312"/>
                <w:color w:val="000000"/>
                <w:sz w:val="24"/>
              </w:rPr>
            </w:pPr>
            <w:r>
              <w:rPr>
                <w:rStyle w:val="10"/>
                <w:rFonts w:ascii="仿宋_GB2312" w:eastAsia="仿宋_GB2312"/>
                <w:color w:val="000000"/>
                <w:sz w:val="24"/>
              </w:rPr>
              <w:t>生产</w:t>
            </w:r>
          </w:p>
        </w:tc>
      </w:tr>
      <w:tr w14:paraId="3D1EA6F1">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2CF30">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5</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15DA">
            <w:pPr>
              <w:rPr>
                <w:rStyle w:val="10"/>
                <w:rFonts w:ascii="仿宋_GB2312" w:eastAsia="仿宋_GB2312"/>
                <w:sz w:val="24"/>
              </w:rPr>
            </w:pPr>
            <w:r>
              <w:rPr>
                <w:rStyle w:val="10"/>
                <w:rFonts w:ascii="仿宋_GB2312" w:eastAsia="仿宋_GB2312"/>
                <w:sz w:val="24"/>
              </w:rPr>
              <w:t>锡林浩特市伊利勒特嘎查采石场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A0DF">
            <w:pPr>
              <w:jc w:val="center"/>
              <w:rPr>
                <w:rStyle w:val="10"/>
                <w:rFonts w:ascii="仿宋_GB2312" w:eastAsia="仿宋_GB2312"/>
                <w:sz w:val="24"/>
              </w:rPr>
            </w:pPr>
            <w:r>
              <w:rPr>
                <w:rStyle w:val="10"/>
                <w:rFonts w:ascii="仿宋_GB2312" w:eastAsia="仿宋_GB2312"/>
                <w:sz w:val="24"/>
              </w:rPr>
              <w:t>建筑用安山岩</w:t>
            </w:r>
          </w:p>
        </w:tc>
        <w:tc>
          <w:tcPr>
            <w:tcW w:w="1128" w:type="dxa"/>
            <w:tcBorders>
              <w:top w:val="single" w:color="000000" w:sz="4" w:space="0"/>
              <w:left w:val="single" w:color="000000" w:sz="4" w:space="0"/>
              <w:bottom w:val="single" w:color="000000" w:sz="4" w:space="0"/>
              <w:right w:val="single" w:color="000000" w:sz="4" w:space="0"/>
            </w:tcBorders>
            <w:vAlign w:val="center"/>
          </w:tcPr>
          <w:p w14:paraId="5357A34D">
            <w:pPr>
              <w:jc w:val="center"/>
              <w:rPr>
                <w:rStyle w:val="10"/>
                <w:rFonts w:ascii="仿宋_GB2312" w:eastAsia="仿宋_GB2312"/>
                <w:color w:val="000000"/>
                <w:sz w:val="24"/>
              </w:rPr>
            </w:pPr>
            <w:r>
              <w:rPr>
                <w:rStyle w:val="10"/>
                <w:rFonts w:ascii="仿宋_GB2312" w:eastAsia="仿宋_GB2312"/>
                <w:color w:val="000000"/>
                <w:sz w:val="24"/>
              </w:rPr>
              <w:t>生产</w:t>
            </w:r>
          </w:p>
        </w:tc>
      </w:tr>
      <w:tr w14:paraId="0D225A86">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19208">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6</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FDF37">
            <w:pPr>
              <w:rPr>
                <w:rStyle w:val="10"/>
                <w:rFonts w:ascii="仿宋_GB2312" w:eastAsia="仿宋_GB2312"/>
                <w:sz w:val="24"/>
              </w:rPr>
            </w:pPr>
            <w:r>
              <w:rPr>
                <w:rStyle w:val="10"/>
                <w:rFonts w:ascii="仿宋_GB2312" w:eastAsia="仿宋_GB2312"/>
                <w:sz w:val="24"/>
              </w:rPr>
              <w:t>锡林浩特市百锐工贸有限公司锡林浩特市乌力吉德力格尔嘎查建筑用石料矿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F5D55">
            <w:pPr>
              <w:jc w:val="center"/>
              <w:rPr>
                <w:rStyle w:val="10"/>
                <w:rFonts w:ascii="仿宋_GB2312" w:eastAsia="仿宋_GB2312"/>
                <w:sz w:val="24"/>
              </w:rPr>
            </w:pPr>
            <w:r>
              <w:rPr>
                <w:rStyle w:val="10"/>
                <w:rFonts w:ascii="仿宋_GB2312" w:eastAsia="仿宋_GB2312"/>
                <w:sz w:val="24"/>
              </w:rPr>
              <w:t>建筑用砂岩</w:t>
            </w:r>
          </w:p>
        </w:tc>
        <w:tc>
          <w:tcPr>
            <w:tcW w:w="1128" w:type="dxa"/>
            <w:tcBorders>
              <w:top w:val="single" w:color="000000" w:sz="4" w:space="0"/>
              <w:left w:val="single" w:color="000000" w:sz="4" w:space="0"/>
              <w:bottom w:val="single" w:color="000000" w:sz="4" w:space="0"/>
              <w:right w:val="single" w:color="000000" w:sz="4" w:space="0"/>
            </w:tcBorders>
            <w:vAlign w:val="center"/>
          </w:tcPr>
          <w:p w14:paraId="74EE2282">
            <w:pPr>
              <w:jc w:val="center"/>
              <w:rPr>
                <w:rStyle w:val="10"/>
                <w:rFonts w:ascii="仿宋_GB2312" w:eastAsia="仿宋_GB2312"/>
                <w:color w:val="000000"/>
                <w:sz w:val="24"/>
              </w:rPr>
            </w:pPr>
            <w:r>
              <w:rPr>
                <w:rStyle w:val="10"/>
                <w:rFonts w:ascii="仿宋_GB2312" w:eastAsia="仿宋_GB2312"/>
                <w:color w:val="000000"/>
                <w:sz w:val="24"/>
              </w:rPr>
              <w:t>筹建</w:t>
            </w:r>
          </w:p>
        </w:tc>
      </w:tr>
    </w:tbl>
    <w:p w14:paraId="6F2F574B">
      <w:pPr>
        <w:spacing w:line="240" w:lineRule="atLeast"/>
        <w:ind w:firstLine="640" w:firstLineChars="200"/>
        <w:rPr>
          <w:rStyle w:val="10"/>
          <w:rFonts w:ascii="宋体" w:hAnsi="宋体" w:eastAsia="仿宋_GB2312" w:cs="Calibri"/>
          <w:bCs/>
          <w:sz w:val="32"/>
          <w:szCs w:val="28"/>
        </w:rPr>
      </w:pPr>
    </w:p>
    <w:p w14:paraId="0C0E1CC1">
      <w:pPr>
        <w:pStyle w:val="15"/>
        <w:spacing w:before="156" w:after="156" w:line="640" w:lineRule="exact"/>
        <w:ind w:firstLine="640" w:firstLineChars="200"/>
        <w:outlineLvl w:val="2"/>
        <w:rPr>
          <w:rStyle w:val="10"/>
          <w:rFonts w:ascii="黑体" w:eastAsia="黑体"/>
          <w:b w:val="0"/>
          <w:szCs w:val="28"/>
        </w:rPr>
      </w:pPr>
      <w:r>
        <w:rPr>
          <w:rStyle w:val="10"/>
          <w:rFonts w:ascii="黑体" w:eastAsia="黑体"/>
          <w:b w:val="0"/>
          <w:szCs w:val="28"/>
        </w:rPr>
        <w:t>三、加强绿色矿山建设管理</w:t>
      </w:r>
    </w:p>
    <w:p w14:paraId="41684B30">
      <w:pPr>
        <w:spacing w:line="360" w:lineRule="auto"/>
        <w:ind w:firstLine="640" w:firstLineChars="200"/>
        <w:rPr>
          <w:rStyle w:val="10"/>
          <w:rFonts w:eastAsia="仿宋_GB2312"/>
          <w:sz w:val="32"/>
          <w:szCs w:val="28"/>
        </w:rPr>
      </w:pPr>
      <w:r>
        <w:rPr>
          <w:rStyle w:val="10"/>
          <w:rFonts w:eastAsia="仿宋_GB2312"/>
          <w:sz w:val="32"/>
          <w:szCs w:val="28"/>
        </w:rPr>
        <w:t>研究建立政府主导、部门协同、市县联创、企业主建、第三方评估、社会监督的绿色矿山建设工作体系，推进</w:t>
      </w:r>
      <w:r>
        <w:rPr>
          <w:rStyle w:val="10"/>
          <w:rFonts w:eastAsia="仿宋_GB2312" w:cs="Calibri"/>
          <w:bCs/>
          <w:sz w:val="32"/>
          <w:szCs w:val="28"/>
        </w:rPr>
        <w:t>《锡林浩特市绿色矿山建设工作方案》各项任务实施</w:t>
      </w:r>
      <w:r>
        <w:rPr>
          <w:rStyle w:val="10"/>
          <w:rFonts w:eastAsia="仿宋_GB2312"/>
          <w:sz w:val="32"/>
          <w:szCs w:val="28"/>
        </w:rPr>
        <w:t>。落实国家和自治区两级绿色矿山标准体系制度，实行第三方评估制度和绿色矿山名录管理制度，按照“双随机</w:t>
      </w:r>
      <w:r>
        <w:rPr>
          <w:rStyle w:val="10"/>
          <w:rFonts w:hint="eastAsia" w:eastAsia="仿宋_GB2312"/>
          <w:sz w:val="32"/>
          <w:szCs w:val="28"/>
          <w:lang w:eastAsia="zh-CN"/>
        </w:rPr>
        <w:t>、</w:t>
      </w:r>
      <w:r>
        <w:rPr>
          <w:rStyle w:val="10"/>
          <w:rFonts w:eastAsia="仿宋_GB2312"/>
          <w:sz w:val="32"/>
          <w:szCs w:val="28"/>
        </w:rPr>
        <w:t>一公开”的方式对已纳入绿色矿山名录的矿山企业进行监督检查，</w:t>
      </w:r>
      <w:r>
        <w:rPr>
          <w:rStyle w:val="10"/>
          <w:rFonts w:ascii="仿宋_GB2312" w:eastAsia="仿宋_GB2312" w:cs="Calibri"/>
          <w:bCs/>
          <w:color w:val="000000"/>
          <w:kern w:val="0"/>
          <w:sz w:val="32"/>
          <w:szCs w:val="32"/>
        </w:rPr>
        <w:t>确定抽查对象，抽查比例不低于20％</w:t>
      </w:r>
      <w:r>
        <w:rPr>
          <w:rStyle w:val="10"/>
          <w:rFonts w:eastAsia="仿宋_GB2312"/>
          <w:sz w:val="32"/>
          <w:szCs w:val="28"/>
        </w:rPr>
        <w:t>。</w:t>
      </w:r>
    </w:p>
    <w:p w14:paraId="48137EC4">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四、支持政策和有关措施</w:t>
      </w:r>
    </w:p>
    <w:p w14:paraId="0467C32F">
      <w:pPr>
        <w:spacing w:line="360" w:lineRule="auto"/>
        <w:ind w:firstLine="640" w:firstLineChars="200"/>
        <w:rPr>
          <w:rStyle w:val="10"/>
          <w:rFonts w:eastAsia="仿宋_GB2312" w:cs="Calibri"/>
          <w:bCs/>
          <w:sz w:val="32"/>
          <w:szCs w:val="28"/>
        </w:rPr>
      </w:pPr>
      <w:r>
        <w:rPr>
          <w:rStyle w:val="10"/>
          <w:rFonts w:eastAsia="仿宋_GB2312" w:cs="Calibri"/>
          <w:bCs/>
          <w:sz w:val="32"/>
          <w:szCs w:val="28"/>
        </w:rPr>
        <w:t>加强政策支持力度，积极协调相关部门，充分运用经济、行政等手段，在资源配置、矿政管理、财政资金、税收等方面向开展绿色矿山建设的企业适度倾斜。加强政策约束和引导，鼓励矿山企业加大科技投入，加强矿山技术改造，同时按照负面清单要求，淘汰落后技术和产能。</w:t>
      </w:r>
    </w:p>
    <w:p w14:paraId="44CD0893">
      <w:pPr>
        <w:pStyle w:val="14"/>
        <w:spacing w:before="312" w:beforeAutospacing="1" w:after="312" w:afterAutospacing="1" w:line="960" w:lineRule="exact"/>
        <w:jc w:val="center"/>
        <w:outlineLvl w:val="1"/>
        <w:rPr>
          <w:rStyle w:val="10"/>
          <w:rFonts w:ascii="宋体" w:hAnsi="宋体" w:eastAsia="仿宋_GB2312"/>
          <w:highlight w:val="yellow"/>
        </w:rPr>
      </w:pPr>
      <w:r>
        <w:rPr>
          <w:rStyle w:val="10"/>
          <w:rFonts w:ascii="宋体" w:hAnsi="宋体" w:eastAsia="仿宋_GB2312"/>
        </w:rPr>
        <w:t>第二节  着力加强矿山地质环境治理</w:t>
      </w:r>
    </w:p>
    <w:p w14:paraId="7AC4E1F3">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一、新建（在建）矿山地质环境保护</w:t>
      </w:r>
    </w:p>
    <w:p w14:paraId="1925D98A">
      <w:pPr>
        <w:spacing w:line="360" w:lineRule="auto"/>
        <w:ind w:firstLine="614" w:firstLineChars="192"/>
        <w:rPr>
          <w:rStyle w:val="10"/>
          <w:rFonts w:eastAsia="仿宋_GB2312"/>
          <w:sz w:val="32"/>
          <w:szCs w:val="28"/>
        </w:rPr>
      </w:pPr>
      <w:r>
        <w:rPr>
          <w:rStyle w:val="10"/>
          <w:rFonts w:eastAsia="仿宋_GB2312"/>
          <w:sz w:val="32"/>
          <w:szCs w:val="28"/>
        </w:rPr>
        <w:t>加强新建矿山准入管理，坚持矿产资源开发利用与矿山地质环境保护并重的原则，严格执行矿山地质环境准入制度。全面实行矿山地质环境保护与治理恢复方案、矿产资源开发利用方案同步编制、同步审查、同步实施的制度和社会公示制度。根据自治区矿山地质环境治理有关规定，严格执行矿山地质环境治理恢复基金制度，明确矿山地质环境保护与治理恢复责任主体。</w:t>
      </w:r>
    </w:p>
    <w:p w14:paraId="4877BE9D">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二、生产矿山地质环境保护与治理恢复</w:t>
      </w:r>
    </w:p>
    <w:p w14:paraId="0954FD64">
      <w:pPr>
        <w:spacing w:line="360" w:lineRule="auto"/>
        <w:ind w:firstLine="614" w:firstLineChars="192"/>
        <w:rPr>
          <w:rStyle w:val="10"/>
          <w:rFonts w:ascii="仿宋_GB2312" w:eastAsia="仿宋_GB2312" w:cs="Calibri"/>
          <w:bCs/>
          <w:color w:val="000000"/>
          <w:kern w:val="0"/>
          <w:sz w:val="32"/>
          <w:szCs w:val="32"/>
        </w:rPr>
      </w:pPr>
      <w:r>
        <w:rPr>
          <w:rStyle w:val="10"/>
          <w:rFonts w:eastAsia="仿宋_GB2312"/>
          <w:sz w:val="32"/>
          <w:szCs w:val="28"/>
        </w:rPr>
        <w:t>加强生产矿山地质环境监测，计提矿山地质环境治理恢复基金，按照矿山地质环境保护与土地复垦方案和年度治理计划书，做到“边开采、边治理、边恢复”，切实提高矿山地质环境治理成效。以胜利矿区为试点，开展矿区环境综合治理，统筹考虑胜利矿区地理位置和资源禀赋，编制《胜利矿区环境综合治理实施方案》，对胜利矿区五大露天煤矿生态环境统一治理标准，联合开展治理，</w:t>
      </w:r>
      <w:r>
        <w:rPr>
          <w:rStyle w:val="10"/>
          <w:rFonts w:ascii="仿宋_GB2312" w:eastAsia="仿宋_GB2312" w:cs="Calibri"/>
          <w:bCs/>
          <w:color w:val="000000"/>
          <w:kern w:val="0"/>
          <w:sz w:val="32"/>
          <w:szCs w:val="32"/>
        </w:rPr>
        <w:t>并逐步其它矿区纳入综合治理范围，实现矿业绿色高质量发展。</w:t>
      </w:r>
    </w:p>
    <w:p w14:paraId="3D5E1933">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三、停产矿山地质环境保护与治理恢复</w:t>
      </w:r>
    </w:p>
    <w:p w14:paraId="457296DF">
      <w:pPr>
        <w:pStyle w:val="12"/>
        <w:ind w:firstLine="640" w:firstLineChars="200"/>
        <w:jc w:val="left"/>
        <w:rPr>
          <w:rStyle w:val="10"/>
          <w:rFonts w:eastAsia="仿宋_GB2312"/>
          <w:sz w:val="32"/>
          <w:szCs w:val="28"/>
        </w:rPr>
      </w:pPr>
      <w:r>
        <w:rPr>
          <w:rStyle w:val="10"/>
          <w:rFonts w:eastAsia="仿宋_GB2312"/>
          <w:sz w:val="32"/>
          <w:szCs w:val="28"/>
        </w:rPr>
        <w:t>督促停产矿山全面履行矿山地质环境保护与恢复治理和矿山土地复垦义务，在加快矿山整改尽早恢复生产的同时，按照“停产不停治”的原则，确保矿山地质环境治理恢复资金投入，在规定限期内完成矿山地质环境治理任务。</w:t>
      </w:r>
    </w:p>
    <w:p w14:paraId="674B56E1">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四、闭坑矿山地质环境保护与治理恢复</w:t>
      </w:r>
    </w:p>
    <w:p w14:paraId="597C4D97">
      <w:pPr>
        <w:spacing w:line="360" w:lineRule="auto"/>
        <w:ind w:firstLine="614" w:firstLineChars="192"/>
        <w:rPr>
          <w:rStyle w:val="10"/>
          <w:rFonts w:eastAsia="仿宋_GB2312"/>
          <w:sz w:val="32"/>
          <w:szCs w:val="28"/>
        </w:rPr>
      </w:pPr>
      <w:r>
        <w:rPr>
          <w:rStyle w:val="10"/>
          <w:rFonts w:eastAsia="仿宋_GB2312"/>
          <w:sz w:val="32"/>
          <w:szCs w:val="28"/>
        </w:rPr>
        <w:t>建立并完善闭坑矿山审批制度，明确矿山闭坑的地质环境达标条件。矿山闭坑前，采矿权人利用矿山地质环境治理恢复基金完成地质环境治理恢复与土地复垦任务，并由自然资源行政管理部门会同相关部门，对矿山地质环境治理工程进行验收合格后，方可批准闭坑。</w:t>
      </w:r>
    </w:p>
    <w:p w14:paraId="62374344">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五、强化矿山地质环境治理恢复监督管理</w:t>
      </w:r>
    </w:p>
    <w:p w14:paraId="0A37C531">
      <w:pPr>
        <w:spacing w:line="360" w:lineRule="auto"/>
        <w:ind w:firstLine="614" w:firstLineChars="192"/>
        <w:rPr>
          <w:rStyle w:val="10"/>
          <w:rFonts w:eastAsia="仿宋_GB2312"/>
          <w:sz w:val="32"/>
          <w:szCs w:val="28"/>
        </w:rPr>
      </w:pPr>
      <w:r>
        <w:rPr>
          <w:rStyle w:val="10"/>
          <w:rFonts w:ascii="仿宋_GB2312" w:eastAsia="仿宋_GB2312" w:cs="Calibri"/>
          <w:bCs/>
          <w:kern w:val="0"/>
          <w:sz w:val="32"/>
          <w:szCs w:val="32"/>
        </w:rPr>
        <w:t>自然资源主管部门会同财政、生态环境等相关部门建立矿山地质环境治理恢复基金监督机制，加强对企业矿山地质环境恢复治理的监督检查。矿山地质环境恢复治理管理按照“双随机、一公开”方式，由自然资源主管部门组织专家对随机抽中的矿山企业，开展实地检查，检查结果向社会公告。加强对矿山地质环境治理恢复基金建立、计提、使用情况的监督。对于未按要求履行治理修复义务的矿山企业，责令限期整改，并列入矿业权人勘查开采信息系统异常名录或严重违法失信名单。对于逾期不整改或整改不到位的，不受理其新的探矿权、采矿权申请。</w:t>
      </w:r>
    </w:p>
    <w:p w14:paraId="235B1552">
      <w:pPr>
        <w:pStyle w:val="13"/>
        <w:spacing w:before="312" w:beforeAutospacing="1" w:after="312" w:afterAutospacing="1" w:line="1280" w:lineRule="exact"/>
        <w:jc w:val="center"/>
        <w:rPr>
          <w:rStyle w:val="10"/>
          <w:rFonts w:ascii="黑体" w:hAnsi="仿宋_GB2312" w:eastAsia="黑体"/>
          <w:sz w:val="32"/>
          <w:szCs w:val="32"/>
        </w:rPr>
        <w:sectPr>
          <w:pgSz w:w="11906" w:h="16838"/>
          <w:pgMar w:top="1440" w:right="1800" w:bottom="1440" w:left="1800" w:header="851" w:footer="992" w:gutter="0"/>
          <w:cols w:space="425" w:num="1"/>
          <w:docGrid w:type="lines" w:linePitch="312" w:charSpace="0"/>
        </w:sectPr>
      </w:pPr>
    </w:p>
    <w:p w14:paraId="60F9A214">
      <w:pPr>
        <w:pStyle w:val="13"/>
        <w:spacing w:before="312" w:beforeAutospacing="1" w:after="312" w:afterAutospacing="1" w:line="1280" w:lineRule="exact"/>
        <w:jc w:val="center"/>
        <w:outlineLvl w:val="0"/>
        <w:rPr>
          <w:rStyle w:val="10"/>
          <w:rFonts w:ascii="黑体" w:hAnsi="仿宋_GB2312" w:eastAsia="黑体"/>
          <w:sz w:val="32"/>
          <w:szCs w:val="32"/>
        </w:rPr>
      </w:pPr>
      <w:r>
        <w:rPr>
          <w:rStyle w:val="10"/>
          <w:rFonts w:ascii="黑体" w:hAnsi="仿宋_GB2312" w:eastAsia="黑体"/>
          <w:sz w:val="32"/>
          <w:szCs w:val="32"/>
        </w:rPr>
        <w:t>第七章  规划实施保障措施</w:t>
      </w:r>
    </w:p>
    <w:p w14:paraId="1A020CFE">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一、加强组织领导</w:t>
      </w:r>
    </w:p>
    <w:p w14:paraId="7AE6FDDA">
      <w:pPr>
        <w:spacing w:line="360" w:lineRule="auto"/>
        <w:ind w:firstLine="614" w:firstLineChars="192"/>
        <w:rPr>
          <w:rStyle w:val="10"/>
          <w:rFonts w:ascii="宋体" w:hAnsi="宋体" w:eastAsia="仿宋_GB2312"/>
          <w:sz w:val="32"/>
          <w:szCs w:val="28"/>
        </w:rPr>
      </w:pPr>
      <w:r>
        <w:rPr>
          <w:rStyle w:val="10"/>
          <w:rFonts w:ascii="宋体" w:hAnsi="宋体" w:eastAsia="仿宋_GB2312"/>
          <w:sz w:val="32"/>
          <w:szCs w:val="28"/>
        </w:rPr>
        <w:t>在市人民政府领导下，强化统筹管理，建立由市自然资源主管部门牵头，与发改、工信、财政、生态环境、林草、水利、应急管理等部门按照职能分工，加强协调配合，做好人才、资金、技术和政策保障，形成推动规划实施的合力，保障规划各项指标及目标任务落地落实。</w:t>
      </w:r>
    </w:p>
    <w:p w14:paraId="6DF63178">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二、强化规划实施目标责任考核</w:t>
      </w:r>
    </w:p>
    <w:p w14:paraId="559AED43">
      <w:pPr>
        <w:ind w:firstLine="640" w:firstLineChars="200"/>
        <w:rPr>
          <w:rStyle w:val="10"/>
          <w:rFonts w:ascii="宋体" w:hAnsi="宋体" w:eastAsia="仿宋_GB2312"/>
          <w:sz w:val="32"/>
          <w:szCs w:val="28"/>
        </w:rPr>
      </w:pPr>
      <w:r>
        <w:rPr>
          <w:rStyle w:val="10"/>
          <w:rFonts w:ascii="宋体" w:hAnsi="宋体" w:eastAsia="仿宋_GB2312"/>
          <w:sz w:val="32"/>
          <w:szCs w:val="28"/>
        </w:rPr>
        <w:t>建立完善规划实施管理的领导责任制和目标考核制度，明确责任分工、考核目标、考核内容及考核办法，并纳入年度目标管理体系，作为对自然资源主管部门负责人业绩考核的依据。</w:t>
      </w:r>
    </w:p>
    <w:p w14:paraId="4905B6E4">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三、做好规划实施评估调整</w:t>
      </w:r>
    </w:p>
    <w:p w14:paraId="659C0640">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逐步完善规划实施评估调整机制，做好规划实施情况的中期评估，总结和分析规划实施过程中存在的问题，根据矿产资源勘查与开发面临的新形势、新任务及管理的需要，研究矿产资源勘查、开发新问题、新形势，对规划进行及时调整和滚动修编，增强规划的科学性和可操作性。</w:t>
      </w:r>
    </w:p>
    <w:p w14:paraId="72917047">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四、加强规划实施情况监督检查</w:t>
      </w:r>
    </w:p>
    <w:p w14:paraId="6B9DF8A6">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将规划实施情况纳入自然资源督察，不定期开展规划执行情况检查。完善规划实施的公众参与机制，加强社会舆论对规划实施的监督。对违反矿产资源规划进行勘查、开采的违法行为，一经发现要及时纠正，依法查处，情节严重的，要依法追究刑事责任。</w:t>
      </w:r>
    </w:p>
    <w:p w14:paraId="4FC670BC">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五、提高规划管理信息化水平</w:t>
      </w:r>
    </w:p>
    <w:p w14:paraId="345FFA4F">
      <w:pPr>
        <w:spacing w:line="360" w:lineRule="auto"/>
        <w:ind w:firstLine="614" w:firstLineChars="192"/>
        <w:rPr>
          <w:rStyle w:val="10"/>
          <w:rFonts w:ascii="宋体" w:hAnsi="宋体" w:eastAsia="仿宋_GB2312"/>
          <w:sz w:val="32"/>
          <w:szCs w:val="28"/>
        </w:rPr>
      </w:pPr>
      <w:r>
        <w:rPr>
          <w:rStyle w:val="10"/>
          <w:rFonts w:ascii="宋体" w:hAnsi="宋体" w:eastAsia="仿宋_GB2312"/>
          <w:sz w:val="32"/>
          <w:szCs w:val="28"/>
        </w:rPr>
        <w:t>编制规划完成后，建设标准统一的矿产资源规划数据库，将规划纳入自治区统一的矿产资源规划数据库中。同时，加强规划数据库与其他矿政管理数据库的互联互通，做好规划信息与相关信息资源的整合，实现数据交换与共享，为矿产资源规划成果管理、规划审查、辅助决策提供数据支持，切实发挥规划数据库在矿政管理中的作用。</w:t>
      </w:r>
    </w:p>
    <w:p w14:paraId="427FA77C">
      <w:pPr>
        <w:spacing w:line="360" w:lineRule="auto"/>
        <w:ind w:firstLine="614" w:firstLineChars="192"/>
        <w:rPr>
          <w:rStyle w:val="10"/>
          <w:rFonts w:ascii="宋体" w:hAnsi="宋体" w:eastAsia="仿宋_GB2312"/>
          <w:sz w:val="3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迷你简粗仿宋">
    <w:altName w:val="仿宋"/>
    <w:panose1 w:val="00000000000000000000"/>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D5F76">
    <w:pPr>
      <w:pStyle w:val="5"/>
      <w:jc w:val="center"/>
      <w:rPr>
        <w:rStyle w:val="10"/>
      </w:rPr>
    </w:pPr>
  </w:p>
  <w:p w14:paraId="7128823C">
    <w:pPr>
      <w:pStyle w:val="5"/>
      <w:rPr>
        <w:rStyle w:val="10"/>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7E6E6">
    <w:pPr>
      <w:pStyle w:val="5"/>
      <w:rPr>
        <w:rStyle w:val="35"/>
        <w:rFonts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A74734">
                          <w:pPr>
                            <w:pStyle w:val="5"/>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02A74734">
                    <w:pPr>
                      <w:pStyle w:val="5"/>
                    </w:pPr>
                    <w:r>
                      <w:fldChar w:fldCharType="begin"/>
                    </w:r>
                    <w:r>
                      <w:instrText xml:space="preserve"> PAGE  \* MERGEFORMAT </w:instrText>
                    </w:r>
                    <w:r>
                      <w:fldChar w:fldCharType="separate"/>
                    </w:r>
                    <w:r>
                      <w:t>22</w:t>
                    </w:r>
                    <w:r>
                      <w:fldChar w:fldCharType="end"/>
                    </w:r>
                  </w:p>
                </w:txbxContent>
              </v:textbox>
            </v:shape>
          </w:pict>
        </mc:Fallback>
      </mc:AlternateContent>
    </w:r>
  </w:p>
  <w:p w14:paraId="690E5F99">
    <w:pPr>
      <w:pStyle w:val="5"/>
      <w:rPr>
        <w:rStyle w:val="10"/>
        <w:rFonts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C3BE5">
    <w:pPr>
      <w:pStyle w:val="6"/>
      <w:pBdr>
        <w:bottom w:val="none" w:color="auto" w:sz="0" w:space="0"/>
      </w:pBdr>
      <w:rPr>
        <w:rStyle w:val="10"/>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5610D6"/>
    <w:multiLevelType w:val="singleLevel"/>
    <w:tmpl w:val="3A5610D6"/>
    <w:lvl w:ilvl="0" w:tentative="0">
      <w:start w:val="2"/>
      <w:numFmt w:val="chineseCounting"/>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ZjViZWYwMTEyZjNlNTgzZTNkYzU3MDg4YjlkZDAifQ=="/>
  </w:docVars>
  <w:rsids>
    <w:rsidRoot w:val="000F238A"/>
    <w:rsid w:val="000F238A"/>
    <w:rsid w:val="006653F0"/>
    <w:rsid w:val="00FF42D3"/>
    <w:rsid w:val="0BB849C9"/>
    <w:rsid w:val="13CC0DC6"/>
    <w:rsid w:val="174A340A"/>
    <w:rsid w:val="280611D8"/>
    <w:rsid w:val="2D66523F"/>
    <w:rsid w:val="34AE04CD"/>
    <w:rsid w:val="4EDA3668"/>
    <w:rsid w:val="61420C0A"/>
    <w:rsid w:val="6D302005"/>
    <w:rsid w:val="752B8469"/>
    <w:rsid w:val="DB7FE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widowControl w:val="0"/>
      <w:spacing w:line="800" w:lineRule="exact"/>
      <w:ind w:firstLine="964" w:firstLineChars="200"/>
      <w:jc w:val="both"/>
      <w:outlineLvl w:val="0"/>
    </w:pPr>
    <w:rPr>
      <w:rFonts w:ascii="Calibri Light" w:hAnsi="Calibri Light" w:eastAsia="迷你简粗仿宋" w:cs="宋体"/>
      <w:bCs/>
      <w:kern w:val="2"/>
      <w:sz w:val="40"/>
      <w:szCs w:val="32"/>
      <w:lang w:val="en-US" w:eastAsia="zh-CN" w:bidi="ar-SA"/>
    </w:rPr>
  </w:style>
  <w:style w:type="paragraph" w:styleId="3">
    <w:name w:val="Body Text Indent"/>
    <w:basedOn w:val="1"/>
    <w:semiHidden/>
    <w:unhideWhenUsed/>
    <w:qFormat/>
    <w:uiPriority w:val="99"/>
    <w:pPr>
      <w:spacing w:after="120"/>
      <w:ind w:left="420" w:leftChars="200"/>
    </w:pPr>
  </w:style>
  <w:style w:type="paragraph" w:styleId="4">
    <w:name w:val="Date"/>
    <w:basedOn w:val="1"/>
    <w:next w:val="1"/>
    <w:qFormat/>
    <w:uiPriority w:val="0"/>
    <w:pPr>
      <w:ind w:left="100" w:leftChars="2500"/>
    </w:pPr>
  </w:style>
  <w:style w:type="paragraph" w:styleId="5">
    <w:name w:val="footer"/>
    <w:basedOn w:val="1"/>
    <w:link w:val="28"/>
    <w:qFormat/>
    <w:uiPriority w:val="0"/>
    <w:pPr>
      <w:tabs>
        <w:tab w:val="center" w:pos="4153"/>
        <w:tab w:val="right" w:pos="8306"/>
      </w:tabs>
      <w:snapToGrid w:val="0"/>
      <w:jc w:val="left"/>
    </w:pPr>
    <w:rPr>
      <w:sz w:val="18"/>
      <w:szCs w:val="18"/>
    </w:rPr>
  </w:style>
  <w:style w:type="paragraph" w:styleId="6">
    <w:name w:val="header"/>
    <w:basedOn w:val="1"/>
    <w:link w:val="29"/>
    <w:qFormat/>
    <w:uiPriority w:val="0"/>
    <w:pPr>
      <w:pBdr>
        <w:bottom w:val="single" w:color="000000" w:sz="6" w:space="1"/>
      </w:pBdr>
      <w:tabs>
        <w:tab w:val="center" w:pos="4153"/>
        <w:tab w:val="right" w:pos="8306"/>
      </w:tabs>
      <w:snapToGrid w:val="0"/>
      <w:jc w:val="center"/>
    </w:pPr>
    <w:rPr>
      <w:sz w:val="18"/>
      <w:szCs w:val="18"/>
    </w:rPr>
  </w:style>
  <w:style w:type="character" w:styleId="9">
    <w:name w:val="Strong"/>
    <w:basedOn w:val="10"/>
    <w:qFormat/>
    <w:uiPriority w:val="0"/>
    <w:rPr>
      <w:b/>
    </w:rPr>
  </w:style>
  <w:style w:type="character" w:customStyle="1" w:styleId="10">
    <w:name w:val="NormalCharacter"/>
    <w:qFormat/>
    <w:uiPriority w:val="0"/>
  </w:style>
  <w:style w:type="character" w:styleId="11">
    <w:name w:val="Hyperlink"/>
    <w:qFormat/>
    <w:uiPriority w:val="0"/>
    <w:rPr>
      <w:color w:val="0000FF"/>
      <w:u w:val="single"/>
    </w:rPr>
  </w:style>
  <w:style w:type="paragraph" w:customStyle="1" w:styleId="12">
    <w:name w:val="UserStyle_0"/>
    <w:basedOn w:val="1"/>
    <w:qFormat/>
    <w:uiPriority w:val="0"/>
    <w:pPr>
      <w:jc w:val="center"/>
    </w:pPr>
    <w:rPr>
      <w:rFonts w:ascii="楷体_GB2312" w:hAnsi="楷体_GB2312" w:eastAsia="楷体_GB2312"/>
      <w:color w:val="000000"/>
      <w:kern w:val="0"/>
    </w:rPr>
  </w:style>
  <w:style w:type="paragraph" w:customStyle="1" w:styleId="13">
    <w:name w:val="Heading1"/>
    <w:basedOn w:val="1"/>
    <w:next w:val="1"/>
    <w:link w:val="17"/>
    <w:qFormat/>
    <w:uiPriority w:val="0"/>
    <w:pPr>
      <w:keepNext/>
      <w:keepLines/>
      <w:spacing w:before="340" w:after="330" w:line="576" w:lineRule="auto"/>
    </w:pPr>
    <w:rPr>
      <w:rFonts w:cs="Calibri"/>
      <w:b/>
      <w:bCs/>
      <w:kern w:val="44"/>
      <w:sz w:val="44"/>
      <w:szCs w:val="44"/>
    </w:rPr>
  </w:style>
  <w:style w:type="paragraph" w:customStyle="1" w:styleId="14">
    <w:name w:val="Heading2"/>
    <w:basedOn w:val="1"/>
    <w:next w:val="1"/>
    <w:link w:val="18"/>
    <w:qFormat/>
    <w:uiPriority w:val="0"/>
    <w:pPr>
      <w:keepNext/>
      <w:keepLines/>
      <w:spacing w:before="260" w:after="260" w:line="413" w:lineRule="auto"/>
    </w:pPr>
    <w:rPr>
      <w:rFonts w:ascii="Arial" w:hAnsi="Arial" w:eastAsia="黑体" w:cs="Calibri"/>
      <w:b/>
      <w:bCs/>
      <w:sz w:val="32"/>
      <w:szCs w:val="32"/>
    </w:rPr>
  </w:style>
  <w:style w:type="paragraph" w:customStyle="1" w:styleId="15">
    <w:name w:val="Heading3"/>
    <w:basedOn w:val="1"/>
    <w:next w:val="1"/>
    <w:link w:val="19"/>
    <w:qFormat/>
    <w:uiPriority w:val="0"/>
    <w:pPr>
      <w:keepNext/>
      <w:keepLines/>
      <w:spacing w:before="260" w:after="260" w:line="416" w:lineRule="auto"/>
    </w:pPr>
    <w:rPr>
      <w:rFonts w:cs="Calibri"/>
      <w:b/>
      <w:bCs/>
      <w:sz w:val="32"/>
      <w:szCs w:val="32"/>
    </w:rPr>
  </w:style>
  <w:style w:type="table" w:customStyle="1" w:styleId="16">
    <w:name w:val="TableNormal"/>
    <w:semiHidden/>
    <w:qFormat/>
    <w:uiPriority w:val="0"/>
    <w:tblPr>
      <w:tblCellMar>
        <w:top w:w="0" w:type="dxa"/>
        <w:left w:w="0" w:type="dxa"/>
        <w:bottom w:w="0" w:type="dxa"/>
        <w:right w:w="0" w:type="dxa"/>
      </w:tblCellMar>
    </w:tblPr>
  </w:style>
  <w:style w:type="character" w:customStyle="1" w:styleId="17">
    <w:name w:val="UserStyle_1"/>
    <w:link w:val="13"/>
    <w:qFormat/>
    <w:uiPriority w:val="0"/>
    <w:rPr>
      <w:rFonts w:eastAsia="宋体" w:cs="Calibri"/>
      <w:b/>
      <w:bCs/>
      <w:kern w:val="44"/>
      <w:sz w:val="44"/>
      <w:szCs w:val="44"/>
      <w:lang w:val="en-US" w:eastAsia="zh-CN" w:bidi="ar-SA"/>
    </w:rPr>
  </w:style>
  <w:style w:type="character" w:customStyle="1" w:styleId="18">
    <w:name w:val="UserStyle_2"/>
    <w:link w:val="14"/>
    <w:qFormat/>
    <w:uiPriority w:val="0"/>
    <w:rPr>
      <w:rFonts w:ascii="Arial" w:hAnsi="Arial" w:eastAsia="黑体" w:cs="Calibri"/>
      <w:b/>
      <w:bCs/>
      <w:kern w:val="2"/>
      <w:sz w:val="32"/>
      <w:szCs w:val="32"/>
      <w:lang w:val="en-US" w:eastAsia="zh-CN" w:bidi="ar-SA"/>
    </w:rPr>
  </w:style>
  <w:style w:type="character" w:customStyle="1" w:styleId="19">
    <w:name w:val="UserStyle_3"/>
    <w:link w:val="15"/>
    <w:semiHidden/>
    <w:qFormat/>
    <w:uiPriority w:val="0"/>
    <w:rPr>
      <w:rFonts w:eastAsia="宋体" w:cs="Calibri"/>
      <w:b/>
      <w:bCs/>
      <w:kern w:val="2"/>
      <w:sz w:val="32"/>
      <w:szCs w:val="32"/>
      <w:lang w:val="en-US" w:eastAsia="zh-CN" w:bidi="ar-SA"/>
    </w:rPr>
  </w:style>
  <w:style w:type="paragraph" w:customStyle="1" w:styleId="20">
    <w:name w:val="NavPane"/>
    <w:basedOn w:val="1"/>
    <w:semiHidden/>
    <w:qFormat/>
    <w:uiPriority w:val="0"/>
    <w:pPr>
      <w:shd w:val="clear" w:color="auto" w:fill="000080"/>
    </w:pPr>
  </w:style>
  <w:style w:type="paragraph" w:customStyle="1" w:styleId="21">
    <w:name w:val="AnnotationText"/>
    <w:basedOn w:val="1"/>
    <w:qFormat/>
    <w:uiPriority w:val="0"/>
    <w:pPr>
      <w:jc w:val="left"/>
    </w:pPr>
  </w:style>
  <w:style w:type="paragraph" w:customStyle="1" w:styleId="22">
    <w:name w:val="BodyTextIndent"/>
    <w:basedOn w:val="1"/>
    <w:qFormat/>
    <w:uiPriority w:val="0"/>
    <w:pPr>
      <w:spacing w:after="120"/>
      <w:ind w:left="420" w:leftChars="200"/>
    </w:pPr>
  </w:style>
  <w:style w:type="paragraph" w:customStyle="1" w:styleId="23">
    <w:name w:val="TOC3"/>
    <w:basedOn w:val="1"/>
    <w:next w:val="1"/>
    <w:qFormat/>
    <w:uiPriority w:val="0"/>
    <w:pPr>
      <w:ind w:left="840" w:leftChars="400"/>
    </w:pPr>
  </w:style>
  <w:style w:type="paragraph" w:customStyle="1" w:styleId="24">
    <w:name w:val="PlainText"/>
    <w:basedOn w:val="1"/>
    <w:qFormat/>
    <w:uiPriority w:val="0"/>
    <w:pPr>
      <w:spacing w:line="360" w:lineRule="atLeast"/>
      <w:jc w:val="left"/>
    </w:pPr>
    <w:rPr>
      <w:rFonts w:ascii="宋体" w:hAnsi="Courier New"/>
      <w:kern w:val="0"/>
      <w:szCs w:val="20"/>
    </w:rPr>
  </w:style>
  <w:style w:type="paragraph" w:customStyle="1" w:styleId="25">
    <w:name w:val="BodyTextIndent2"/>
    <w:basedOn w:val="1"/>
    <w:link w:val="26"/>
    <w:qFormat/>
    <w:uiPriority w:val="0"/>
    <w:pPr>
      <w:ind w:firstLine="660"/>
    </w:pPr>
    <w:rPr>
      <w:color w:val="FF0000"/>
      <w:sz w:val="28"/>
    </w:rPr>
  </w:style>
  <w:style w:type="character" w:customStyle="1" w:styleId="26">
    <w:name w:val="UserStyle_4"/>
    <w:link w:val="25"/>
    <w:qFormat/>
    <w:uiPriority w:val="0"/>
    <w:rPr>
      <w:rFonts w:eastAsia="宋体"/>
      <w:color w:val="FF0000"/>
      <w:kern w:val="2"/>
      <w:sz w:val="28"/>
      <w:szCs w:val="24"/>
      <w:lang w:val="en-US" w:eastAsia="zh-CN" w:bidi="ar-SA"/>
    </w:rPr>
  </w:style>
  <w:style w:type="paragraph" w:customStyle="1" w:styleId="27">
    <w:name w:val="Acetate"/>
    <w:basedOn w:val="1"/>
    <w:qFormat/>
    <w:uiPriority w:val="0"/>
    <w:rPr>
      <w:sz w:val="18"/>
      <w:szCs w:val="18"/>
    </w:rPr>
  </w:style>
  <w:style w:type="character" w:customStyle="1" w:styleId="28">
    <w:name w:val="页脚 Char"/>
    <w:link w:val="5"/>
    <w:qFormat/>
    <w:uiPriority w:val="0"/>
    <w:rPr>
      <w:kern w:val="2"/>
      <w:sz w:val="18"/>
      <w:szCs w:val="18"/>
    </w:rPr>
  </w:style>
  <w:style w:type="character" w:customStyle="1" w:styleId="29">
    <w:name w:val="页眉 Char"/>
    <w:link w:val="6"/>
    <w:qFormat/>
    <w:locked/>
    <w:uiPriority w:val="0"/>
    <w:rPr>
      <w:rFonts w:eastAsia="宋体"/>
      <w:kern w:val="2"/>
      <w:sz w:val="18"/>
      <w:szCs w:val="18"/>
      <w:lang w:val="en-US" w:eastAsia="zh-CN" w:bidi="ar-SA"/>
    </w:rPr>
  </w:style>
  <w:style w:type="paragraph" w:customStyle="1" w:styleId="30">
    <w:name w:val="TOC1"/>
    <w:basedOn w:val="1"/>
    <w:next w:val="1"/>
    <w:qFormat/>
    <w:uiPriority w:val="0"/>
    <w:pPr>
      <w:spacing w:line="360" w:lineRule="auto"/>
    </w:pPr>
    <w:rPr>
      <w:sz w:val="24"/>
    </w:rPr>
  </w:style>
  <w:style w:type="paragraph" w:customStyle="1" w:styleId="31">
    <w:name w:val="TOC2"/>
    <w:basedOn w:val="1"/>
    <w:next w:val="1"/>
    <w:qFormat/>
    <w:uiPriority w:val="0"/>
    <w:pPr>
      <w:ind w:left="420" w:leftChars="200"/>
    </w:pPr>
    <w:rPr>
      <w:sz w:val="24"/>
    </w:rPr>
  </w:style>
  <w:style w:type="paragraph" w:customStyle="1" w:styleId="32">
    <w:name w:val="HtmlNormal"/>
    <w:basedOn w:val="1"/>
    <w:qFormat/>
    <w:uiPriority w:val="0"/>
    <w:pPr>
      <w:spacing w:before="100" w:beforeAutospacing="1" w:after="100" w:afterAutospacing="1"/>
      <w:jc w:val="left"/>
    </w:pPr>
    <w:rPr>
      <w:rFonts w:ascii="宋体" w:hAnsi="宋体"/>
      <w:kern w:val="0"/>
      <w:sz w:val="24"/>
    </w:rPr>
  </w:style>
  <w:style w:type="paragraph" w:customStyle="1" w:styleId="33">
    <w:name w:val="AnnotationSubject"/>
    <w:basedOn w:val="21"/>
    <w:next w:val="21"/>
    <w:qFormat/>
    <w:uiPriority w:val="0"/>
    <w:rPr>
      <w:rFonts w:cs="Calibri"/>
      <w:b/>
      <w:bCs/>
    </w:rPr>
  </w:style>
  <w:style w:type="table" w:customStyle="1" w:styleId="34">
    <w:name w:val="TableGrid"/>
    <w:basedOn w:val="16"/>
    <w:qFormat/>
    <w:uiPriority w:val="0"/>
    <w:tblPr>
      <w:tblCellMar>
        <w:top w:w="0" w:type="dxa"/>
        <w:left w:w="0" w:type="dxa"/>
        <w:bottom w:w="0" w:type="dxa"/>
        <w:right w:w="0" w:type="dxa"/>
      </w:tblCellMar>
    </w:tblPr>
  </w:style>
  <w:style w:type="character" w:customStyle="1" w:styleId="35">
    <w:name w:val="PageNumber"/>
    <w:qFormat/>
    <w:uiPriority w:val="0"/>
  </w:style>
  <w:style w:type="character" w:customStyle="1" w:styleId="36">
    <w:name w:val="AnnotationReference"/>
    <w:qFormat/>
    <w:uiPriority w:val="0"/>
    <w:rPr>
      <w:sz w:val="21"/>
      <w:szCs w:val="21"/>
    </w:rPr>
  </w:style>
  <w:style w:type="character" w:customStyle="1" w:styleId="37">
    <w:name w:val="UserStyle_7"/>
    <w:link w:val="38"/>
    <w:qFormat/>
    <w:uiPriority w:val="0"/>
    <w:rPr>
      <w:rFonts w:eastAsia="仿宋_GB2312"/>
      <w:kern w:val="2"/>
      <w:sz w:val="21"/>
      <w:szCs w:val="18"/>
      <w:lang w:val="en-US" w:eastAsia="zh-CN" w:bidi="ar-SA"/>
    </w:rPr>
  </w:style>
  <w:style w:type="paragraph" w:customStyle="1" w:styleId="38">
    <w:name w:val="UserStyle_8"/>
    <w:basedOn w:val="1"/>
    <w:link w:val="37"/>
    <w:qFormat/>
    <w:uiPriority w:val="0"/>
    <w:pPr>
      <w:spacing w:line="240" w:lineRule="exact"/>
      <w:jc w:val="center"/>
    </w:pPr>
    <w:rPr>
      <w:rFonts w:eastAsia="仿宋_GB2312"/>
      <w:szCs w:val="18"/>
    </w:rPr>
  </w:style>
  <w:style w:type="character" w:customStyle="1" w:styleId="39">
    <w:name w:val="UserStyle_9"/>
    <w:qFormat/>
    <w:uiPriority w:val="0"/>
    <w:rPr>
      <w:rFonts w:ascii="宋体" w:hAnsi="宋体" w:eastAsia="宋体"/>
      <w:color w:val="000000"/>
      <w:sz w:val="22"/>
      <w:szCs w:val="22"/>
    </w:rPr>
  </w:style>
  <w:style w:type="character" w:customStyle="1" w:styleId="40">
    <w:name w:val="UserStyle_10"/>
    <w:qFormat/>
    <w:uiPriority w:val="0"/>
  </w:style>
  <w:style w:type="character" w:customStyle="1" w:styleId="41">
    <w:name w:val="UserStyle_11"/>
    <w:qFormat/>
    <w:uiPriority w:val="0"/>
    <w:rPr>
      <w:color w:val="FF0000"/>
      <w:kern w:val="2"/>
      <w:sz w:val="28"/>
      <w:szCs w:val="24"/>
    </w:rPr>
  </w:style>
  <w:style w:type="paragraph" w:customStyle="1" w:styleId="42">
    <w:name w:val="UserStyle_12"/>
    <w:basedOn w:val="1"/>
    <w:qFormat/>
    <w:uiPriority w:val="0"/>
  </w:style>
  <w:style w:type="paragraph" w:customStyle="1" w:styleId="43">
    <w:name w:val="UserStyle_13"/>
    <w:basedOn w:val="1"/>
    <w:qFormat/>
    <w:uiPriority w:val="0"/>
    <w:pPr>
      <w:snapToGrid w:val="0"/>
      <w:spacing w:line="360" w:lineRule="auto"/>
      <w:ind w:firstLine="200" w:firstLineChars="200"/>
    </w:pPr>
    <w:rPr>
      <w:rFonts w:eastAsia="仿宋_GB2312"/>
      <w:sz w:val="24"/>
    </w:rPr>
  </w:style>
  <w:style w:type="paragraph" w:customStyle="1" w:styleId="44">
    <w:name w:val="UserStyle_14"/>
    <w:basedOn w:val="1"/>
    <w:qFormat/>
    <w:uiPriority w:val="0"/>
    <w:pPr>
      <w:ind w:firstLine="538" w:firstLineChars="192"/>
    </w:pPr>
    <w:rPr>
      <w:rFonts w:ascii="宋体" w:hAnsi="宋体"/>
      <w:sz w:val="28"/>
      <w:szCs w:val="28"/>
    </w:rPr>
  </w:style>
  <w:style w:type="paragraph" w:customStyle="1" w:styleId="45">
    <w:name w:val="UserStyle_15"/>
    <w:basedOn w:val="1"/>
    <w:qFormat/>
    <w:uiPriority w:val="0"/>
  </w:style>
  <w:style w:type="paragraph" w:customStyle="1" w:styleId="46">
    <w:name w:val="UserStyle_16"/>
    <w:basedOn w:val="1"/>
    <w:qFormat/>
    <w:uiPriority w:val="0"/>
    <w:pPr>
      <w:spacing w:line="837" w:lineRule="atLeast"/>
      <w:ind w:left="1"/>
    </w:pPr>
    <w:rPr>
      <w:color w:val="000000"/>
      <w:kern w:val="0"/>
      <w:szCs w:val="21"/>
    </w:rPr>
  </w:style>
  <w:style w:type="paragraph" w:customStyle="1" w:styleId="47">
    <w:name w:val="UserStyle_17"/>
    <w:basedOn w:val="1"/>
    <w:qFormat/>
    <w:uiPriority w:val="0"/>
  </w:style>
  <w:style w:type="paragraph" w:customStyle="1" w:styleId="48">
    <w:name w:val="UserStyle_18"/>
    <w:basedOn w:val="1"/>
    <w:qFormat/>
    <w:uiPriority w:val="0"/>
    <w:pPr>
      <w:spacing w:line="240" w:lineRule="atLeast"/>
      <w:jc w:val="left"/>
    </w:pPr>
    <w:rPr>
      <w:rFonts w:ascii="宋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39</Pages>
  <Words>9676</Words>
  <Characters>10108</Characters>
  <Lines>110</Lines>
  <Paragraphs>31</Paragraphs>
  <TotalTime>38</TotalTime>
  <ScaleCrop>false</ScaleCrop>
  <LinksUpToDate>false</LinksUpToDate>
  <CharactersWithSpaces>10249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2022-09-18T00:51:00Z</dcterms:created>
  <dc:creator>666</dc:creator>
  <cp:lastModifiedBy>演示人</cp:lastModifiedBy>
  <cp:lastPrinted>2022-10-10T04:50:00Z</cp:lastPrinted>
  <dcterms:modified xsi:type="dcterms:W3CDTF">2025-05-06T08:52:18Z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C13932ECF8B04F64B6ACABB9AC6E7818_13</vt:lpwstr>
  </property>
  <property fmtid="{D5CDD505-2E9C-101B-9397-08002B2CF9AE}" pid="4" name="KSOTemplateDocerSaveRecord">
    <vt:lpwstr>eyJoZGlkIjoiYmM4ZjViZWYwMTEyZjNlNTgzZTNkYzU3MDg4YjlkZDAiLCJ1c2VySWQiOiIzMzcxMzgwMjcifQ==</vt:lpwstr>
  </property>
</Properties>
</file>