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40" w:lineRule="exact"/>
        <w:jc w:val="center"/>
        <w:outlineLvl w:val="0"/>
        <w:rPr>
          <w:rStyle w:val="10"/>
          <w:rFonts w:ascii="黑体" w:eastAsia="黑体"/>
          <w:b/>
          <w:sz w:val="52"/>
          <w:szCs w:val="52"/>
        </w:rPr>
      </w:pPr>
    </w:p>
    <w:p>
      <w:pPr>
        <w:spacing w:line="840" w:lineRule="exact"/>
        <w:jc w:val="center"/>
        <w:outlineLvl w:val="0"/>
        <w:rPr>
          <w:rStyle w:val="10"/>
          <w:rFonts w:ascii="黑体" w:eastAsia="黑体"/>
          <w:b/>
          <w:sz w:val="52"/>
          <w:szCs w:val="52"/>
        </w:rPr>
      </w:pPr>
      <w:r>
        <w:rPr>
          <w:rStyle w:val="10"/>
          <w:rFonts w:ascii="黑体" w:eastAsia="黑体"/>
          <w:b/>
          <w:sz w:val="52"/>
          <w:szCs w:val="52"/>
        </w:rPr>
        <w:t>锡林浩特市矿产资源总体规划</w:t>
      </w:r>
    </w:p>
    <w:p>
      <w:pPr>
        <w:spacing w:line="840" w:lineRule="exact"/>
        <w:jc w:val="center"/>
        <w:rPr>
          <w:rStyle w:val="10"/>
          <w:rFonts w:ascii="黑体" w:eastAsia="黑体"/>
          <w:b/>
          <w:sz w:val="52"/>
          <w:szCs w:val="52"/>
        </w:rPr>
      </w:pPr>
      <w:r>
        <w:rPr>
          <w:rStyle w:val="10"/>
          <w:rFonts w:ascii="黑体" w:eastAsia="黑体"/>
          <w:b/>
          <w:sz w:val="52"/>
          <w:szCs w:val="52"/>
        </w:rPr>
        <w:t>（2021-2025年）</w:t>
      </w:r>
    </w:p>
    <w:p>
      <w:pPr>
        <w:spacing w:line="840" w:lineRule="exact"/>
        <w:jc w:val="center"/>
        <w:rPr>
          <w:rStyle w:val="10"/>
          <w:rFonts w:hint="eastAsia" w:ascii="黑体" w:eastAsia="黑体"/>
          <w:b/>
          <w:sz w:val="52"/>
          <w:szCs w:val="52"/>
          <w:lang w:val="en-US" w:eastAsia="zh-CN"/>
        </w:rPr>
      </w:pPr>
    </w:p>
    <w:p>
      <w:pPr>
        <w:pStyle w:val="12"/>
      </w:pPr>
    </w:p>
    <w:p>
      <w:pPr>
        <w:pStyle w:val="12"/>
      </w:pPr>
    </w:p>
    <w:p>
      <w:pPr>
        <w:pStyle w:val="12"/>
      </w:pPr>
    </w:p>
    <w:p>
      <w:pPr>
        <w:pStyle w:val="12"/>
      </w:pPr>
    </w:p>
    <w:p>
      <w:pPr>
        <w:spacing w:line="840" w:lineRule="exact"/>
        <w:jc w:val="center"/>
        <w:rPr>
          <w:rStyle w:val="10"/>
          <w:rFonts w:ascii="仿宋_GB2312" w:eastAsia="仿宋_GB2312"/>
          <w:b/>
          <w:sz w:val="52"/>
          <w:szCs w:val="52"/>
        </w:rPr>
      </w:pPr>
    </w:p>
    <w:p>
      <w:pPr>
        <w:spacing w:line="640" w:lineRule="exact"/>
        <w:jc w:val="both"/>
        <w:rPr>
          <w:rStyle w:val="10"/>
          <w:rFonts w:ascii="仿宋_GB2312" w:eastAsia="仿宋_GB2312"/>
          <w:b/>
          <w:sz w:val="32"/>
          <w:szCs w:val="30"/>
        </w:rPr>
      </w:pPr>
    </w:p>
    <w:p>
      <w:pPr>
        <w:spacing w:line="640" w:lineRule="exact"/>
        <w:jc w:val="center"/>
        <w:rPr>
          <w:rStyle w:val="10"/>
          <w:rFonts w:ascii="仿宋_GB2312" w:eastAsia="仿宋_GB2312"/>
          <w:b/>
          <w:sz w:val="32"/>
          <w:szCs w:val="30"/>
        </w:rPr>
      </w:pPr>
    </w:p>
    <w:p>
      <w:pPr>
        <w:spacing w:line="640" w:lineRule="exact"/>
        <w:jc w:val="center"/>
        <w:rPr>
          <w:rStyle w:val="10"/>
          <w:rFonts w:ascii="仿宋_GB2312" w:eastAsia="仿宋_GB2312"/>
          <w:b/>
          <w:sz w:val="32"/>
          <w:szCs w:val="30"/>
        </w:rPr>
      </w:pPr>
    </w:p>
    <w:p>
      <w:pPr>
        <w:spacing w:line="640" w:lineRule="exact"/>
        <w:jc w:val="center"/>
        <w:rPr>
          <w:rStyle w:val="10"/>
          <w:rFonts w:ascii="仿宋_GB2312" w:eastAsia="仿宋_GB2312"/>
          <w:b/>
          <w:sz w:val="32"/>
          <w:szCs w:val="30"/>
        </w:rPr>
      </w:pPr>
    </w:p>
    <w:p>
      <w:pPr>
        <w:spacing w:line="640" w:lineRule="exact"/>
        <w:jc w:val="center"/>
        <w:rPr>
          <w:rStyle w:val="10"/>
          <w:rFonts w:ascii="仿宋_GB2312" w:eastAsia="仿宋_GB2312"/>
          <w:b/>
          <w:sz w:val="32"/>
          <w:szCs w:val="30"/>
        </w:rPr>
      </w:pPr>
    </w:p>
    <w:p>
      <w:pPr>
        <w:spacing w:line="640" w:lineRule="exact"/>
        <w:jc w:val="both"/>
        <w:rPr>
          <w:rStyle w:val="10"/>
          <w:rFonts w:ascii="仿宋_GB2312" w:eastAsia="仿宋_GB2312"/>
          <w:b/>
          <w:sz w:val="32"/>
          <w:szCs w:val="30"/>
        </w:rPr>
      </w:pPr>
    </w:p>
    <w:p>
      <w:pPr>
        <w:spacing w:line="640" w:lineRule="exact"/>
        <w:jc w:val="center"/>
        <w:rPr>
          <w:rStyle w:val="10"/>
          <w:rFonts w:ascii="仿宋_GB2312" w:eastAsia="仿宋_GB2312"/>
          <w:b/>
          <w:sz w:val="32"/>
          <w:szCs w:val="30"/>
        </w:rPr>
      </w:pPr>
    </w:p>
    <w:p>
      <w:pPr>
        <w:spacing w:line="640" w:lineRule="exact"/>
        <w:jc w:val="center"/>
        <w:outlineLvl w:val="0"/>
        <w:rPr>
          <w:rStyle w:val="10"/>
          <w:rFonts w:ascii="宋体" w:hAnsi="宋体" w:eastAsia="仿宋_GB2312"/>
          <w:b/>
          <w:sz w:val="32"/>
          <w:szCs w:val="30"/>
        </w:rPr>
      </w:pPr>
      <w:r>
        <w:rPr>
          <w:rStyle w:val="10"/>
          <w:rFonts w:ascii="宋体" w:hAnsi="宋体" w:eastAsia="仿宋_GB2312"/>
          <w:b/>
          <w:sz w:val="32"/>
          <w:szCs w:val="30"/>
        </w:rPr>
        <w:t>锡林浩特市人民政府</w:t>
      </w:r>
    </w:p>
    <w:p>
      <w:pPr>
        <w:spacing w:line="640" w:lineRule="exact"/>
        <w:jc w:val="center"/>
        <w:rPr>
          <w:rStyle w:val="10"/>
          <w:rFonts w:ascii="宋体" w:hAnsi="宋体" w:eastAsia="仿宋_GB2312"/>
          <w:b/>
          <w:sz w:val="32"/>
          <w:szCs w:val="30"/>
        </w:rPr>
      </w:pPr>
      <w:r>
        <w:rPr>
          <w:rStyle w:val="10"/>
          <w:sz w:val="30"/>
        </w:rPr>
        <mc:AlternateContent>
          <mc:Choice Requires="wps">
            <w:drawing>
              <wp:anchor distT="0" distB="0" distL="114300" distR="114300" simplePos="0" relativeHeight="251659264" behindDoc="0" locked="0" layoutInCell="1" allowOverlap="1">
                <wp:simplePos x="0" y="0"/>
                <wp:positionH relativeFrom="column">
                  <wp:posOffset>2536825</wp:posOffset>
                </wp:positionH>
                <wp:positionV relativeFrom="paragraph">
                  <wp:posOffset>1124585</wp:posOffset>
                </wp:positionV>
                <wp:extent cx="914400" cy="693420"/>
                <wp:effectExtent l="0" t="0" r="0" b="11430"/>
                <wp:wrapNone/>
                <wp:docPr id="1" name="文本框 3"/>
                <wp:cNvGraphicFramePr/>
                <a:graphic xmlns:a="http://schemas.openxmlformats.org/drawingml/2006/main">
                  <a:graphicData uri="http://schemas.microsoft.com/office/word/2010/wordprocessingShape">
                    <wps:wsp>
                      <wps:cNvSpPr txBox="1"/>
                      <wps:spPr>
                        <a:xfrm>
                          <a:off x="0" y="0"/>
                          <a:ext cx="914400" cy="693420"/>
                        </a:xfrm>
                        <a:prstGeom prst="rect">
                          <a:avLst/>
                        </a:prstGeom>
                        <a:solidFill>
                          <a:srgbClr val="FFFFFF"/>
                        </a:solidFill>
                        <a:ln>
                          <a:noFill/>
                        </a:ln>
                      </wps:spPr>
                      <wps:txbx>
                        <w:txbxContent>
                          <w:p>
                            <w:pPr>
                              <w:rPr>
                                <w:rStyle w:val="10"/>
                                <w:rFonts w:eastAsia="仿宋_GB2312"/>
                                <w:sz w:val="24"/>
                              </w:rPr>
                            </w:pPr>
                          </w:p>
                          <w:p>
                            <w:pPr>
                              <w:rPr>
                                <w:rStyle w:val="10"/>
                              </w:rPr>
                            </w:pPr>
                          </w:p>
                        </w:txbxContent>
                      </wps:txbx>
                      <wps:bodyPr upright="1"/>
                    </wps:wsp>
                  </a:graphicData>
                </a:graphic>
              </wp:anchor>
            </w:drawing>
          </mc:Choice>
          <mc:Fallback>
            <w:pict>
              <v:shape id="文本框 3" o:spid="_x0000_s1026" o:spt="202" type="#_x0000_t202" style="position:absolute;left:0pt;margin-left:199.75pt;margin-top:88.55pt;height:54.6pt;width:72pt;z-index:251659264;mso-width-relative:page;mso-height-relative:page;" fillcolor="#FFFFFF" filled="t" stroked="f" coordsize="21600,21600" o:gfxdata="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TX5T82AAAAAsBAAAPAAAAAAAAAAEAIAAAACIAAABkcnMvZG93bnJldi54&#10;bWxQSwECFAAUAAAACACHTuJA+4e2bsEBAAB2AwAADgAAAAAAAAABACAAAAAnAQAAZHJzL2Uyb0Rv&#10;Yy54bWxQSwUGAAAAAAYABgBZAQAAWgUAAAAA&#10;">
                <v:fill on="t" focussize="0,0"/>
                <v:stroke on="f"/>
                <v:imagedata o:title=""/>
                <o:lock v:ext="edit" aspectratio="f"/>
                <v:textbox>
                  <w:txbxContent>
                    <w:p>
                      <w:pPr>
                        <w:rPr>
                          <w:rStyle w:val="10"/>
                          <w:rFonts w:eastAsia="仿宋_GB2312"/>
                          <w:sz w:val="24"/>
                        </w:rPr>
                      </w:pPr>
                    </w:p>
                    <w:p>
                      <w:pPr>
                        <w:rPr>
                          <w:rStyle w:val="10"/>
                        </w:rPr>
                      </w:pPr>
                    </w:p>
                  </w:txbxContent>
                </v:textbox>
              </v:shape>
            </w:pict>
          </mc:Fallback>
        </mc:AlternateContent>
      </w:r>
      <w:r>
        <w:rPr>
          <w:rStyle w:val="10"/>
          <w:rFonts w:ascii="宋体" w:hAnsi="宋体" w:eastAsia="仿宋_GB2312"/>
          <w:b/>
          <w:sz w:val="32"/>
          <w:szCs w:val="30"/>
        </w:rPr>
        <w:t>二○二二年九月</w:t>
      </w:r>
    </w:p>
    <w:p>
      <w:pPr>
        <w:spacing w:line="552" w:lineRule="auto"/>
        <w:jc w:val="center"/>
        <w:rPr>
          <w:rStyle w:val="10"/>
          <w:rFonts w:ascii="黑体" w:eastAsia="黑体"/>
          <w:b/>
          <w:sz w:val="32"/>
          <w:szCs w:val="32"/>
        </w:rPr>
      </w:pPr>
      <w:r>
        <w:rPr>
          <w:rStyle w:val="10"/>
          <w:rFonts w:ascii="宋体" w:hAnsi="宋体" w:eastAsia="仿宋_GB2312"/>
          <w:b/>
          <w:sz w:val="32"/>
          <w:szCs w:val="30"/>
        </w:rPr>
        <w:br w:type="page"/>
      </w:r>
      <w:r>
        <w:rPr>
          <w:rStyle w:val="10"/>
          <w:rFonts w:ascii="黑体" w:eastAsia="黑体"/>
          <w:b/>
          <w:sz w:val="32"/>
          <w:szCs w:val="32"/>
        </w:rPr>
        <w:t>目   录</w:t>
      </w:r>
    </w:p>
    <w:p>
      <w:pPr>
        <w:pStyle w:val="30"/>
        <w:tabs>
          <w:tab w:val="right" w:leader="dot" w:pos="8306"/>
        </w:tabs>
        <w:rPr>
          <w:rStyle w:val="10"/>
          <w:rFonts w:ascii="Times New Roman" w:hAnsi="Times New Roman"/>
          <w:sz w:val="30"/>
          <w:szCs w:val="30"/>
        </w:rPr>
      </w:pPr>
      <w:r>
        <w:rPr>
          <w:rStyle w:val="10"/>
          <w:rFonts w:ascii="Times New Roman" w:hAnsi="Times New Roman" w:eastAsia="黑体"/>
          <w:sz w:val="30"/>
          <w:szCs w:val="30"/>
        </w:rPr>
        <w:t>总  则</w:t>
      </w:r>
      <w:r>
        <w:rPr>
          <w:rStyle w:val="10"/>
          <w:rFonts w:ascii="Times New Roman" w:hAnsi="Times New Roman"/>
          <w:sz w:val="30"/>
          <w:szCs w:val="30"/>
        </w:rPr>
        <w:tab/>
      </w:r>
      <w:r>
        <w:rPr>
          <w:rStyle w:val="10"/>
          <w:rFonts w:ascii="Times New Roman" w:hAnsi="Times New Roman"/>
          <w:sz w:val="30"/>
          <w:szCs w:val="30"/>
        </w:rPr>
        <w:t>1</w:t>
      </w:r>
    </w:p>
    <w:p>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第一章  现状与形势</w:t>
      </w:r>
      <w:r>
        <w:rPr>
          <w:rStyle w:val="10"/>
          <w:rFonts w:ascii="Times New Roman" w:hAnsi="Times New Roman"/>
          <w:sz w:val="30"/>
          <w:szCs w:val="30"/>
        </w:rPr>
        <w:tab/>
      </w:r>
      <w:r>
        <w:rPr>
          <w:rStyle w:val="10"/>
          <w:rFonts w:ascii="Times New Roman" w:hAnsi="Times New Roman"/>
          <w:sz w:val="30"/>
          <w:szCs w:val="30"/>
        </w:rPr>
        <w:t>2</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矿产资源现状</w:t>
      </w:r>
      <w:r>
        <w:rPr>
          <w:rStyle w:val="10"/>
          <w:rFonts w:ascii="Times New Roman" w:hAnsi="Times New Roman"/>
          <w:sz w:val="30"/>
          <w:szCs w:val="30"/>
        </w:rPr>
        <w:tab/>
      </w:r>
      <w:r>
        <w:rPr>
          <w:rStyle w:val="10"/>
          <w:rFonts w:ascii="Times New Roman" w:hAnsi="Times New Roman"/>
          <w:sz w:val="30"/>
          <w:szCs w:val="30"/>
        </w:rPr>
        <w:t>2</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上轮规划实施成效</w:t>
      </w:r>
      <w:r>
        <w:rPr>
          <w:rStyle w:val="10"/>
          <w:rFonts w:ascii="Times New Roman" w:hAnsi="Times New Roman"/>
          <w:sz w:val="30"/>
          <w:szCs w:val="30"/>
        </w:rPr>
        <w:tab/>
      </w:r>
      <w:r>
        <w:rPr>
          <w:rStyle w:val="10"/>
          <w:rFonts w:ascii="Times New Roman" w:hAnsi="Times New Roman"/>
          <w:sz w:val="30"/>
          <w:szCs w:val="30"/>
        </w:rPr>
        <w:t>7</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形势与要求</w:t>
      </w:r>
      <w:r>
        <w:rPr>
          <w:rStyle w:val="10"/>
          <w:rFonts w:ascii="Times New Roman" w:hAnsi="Times New Roman"/>
          <w:sz w:val="30"/>
          <w:szCs w:val="30"/>
        </w:rPr>
        <w:tab/>
      </w:r>
      <w:r>
        <w:rPr>
          <w:rStyle w:val="10"/>
          <w:rFonts w:ascii="Times New Roman" w:hAnsi="Times New Roman"/>
          <w:sz w:val="30"/>
          <w:szCs w:val="30"/>
        </w:rPr>
        <w:t>9</w:t>
      </w:r>
    </w:p>
    <w:p>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第二章  指导思想、基本原则与规划目标</w:t>
      </w:r>
      <w:r>
        <w:rPr>
          <w:rStyle w:val="10"/>
          <w:rFonts w:ascii="Times New Roman" w:hAnsi="Times New Roman"/>
          <w:sz w:val="30"/>
          <w:szCs w:val="30"/>
        </w:rPr>
        <w:tab/>
      </w:r>
      <w:r>
        <w:rPr>
          <w:rStyle w:val="10"/>
          <w:rFonts w:ascii="Times New Roman" w:hAnsi="Times New Roman"/>
          <w:sz w:val="30"/>
          <w:szCs w:val="30"/>
        </w:rPr>
        <w:t>12</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指导思想</w:t>
      </w:r>
      <w:r>
        <w:rPr>
          <w:rStyle w:val="10"/>
          <w:rFonts w:ascii="Times New Roman" w:hAnsi="Times New Roman"/>
          <w:sz w:val="30"/>
          <w:szCs w:val="30"/>
        </w:rPr>
        <w:tab/>
      </w:r>
      <w:r>
        <w:rPr>
          <w:rStyle w:val="10"/>
          <w:rFonts w:ascii="Times New Roman" w:hAnsi="Times New Roman"/>
          <w:sz w:val="30"/>
          <w:szCs w:val="30"/>
        </w:rPr>
        <w:t>12</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基本原则</w:t>
      </w:r>
      <w:r>
        <w:rPr>
          <w:rStyle w:val="10"/>
          <w:rFonts w:ascii="Times New Roman" w:hAnsi="Times New Roman"/>
          <w:sz w:val="30"/>
          <w:szCs w:val="30"/>
        </w:rPr>
        <w:tab/>
      </w:r>
      <w:r>
        <w:rPr>
          <w:rStyle w:val="10"/>
          <w:rFonts w:ascii="Times New Roman" w:hAnsi="Times New Roman"/>
          <w:sz w:val="30"/>
          <w:szCs w:val="30"/>
        </w:rPr>
        <w:t>12</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规划目标</w:t>
      </w:r>
      <w:r>
        <w:rPr>
          <w:rStyle w:val="10"/>
          <w:rFonts w:ascii="Times New Roman" w:hAnsi="Times New Roman"/>
          <w:sz w:val="30"/>
          <w:szCs w:val="30"/>
        </w:rPr>
        <w:tab/>
      </w:r>
      <w:r>
        <w:rPr>
          <w:rStyle w:val="10"/>
          <w:rFonts w:ascii="Times New Roman" w:hAnsi="Times New Roman"/>
          <w:sz w:val="30"/>
          <w:szCs w:val="30"/>
        </w:rPr>
        <w:t>14</w:t>
      </w:r>
    </w:p>
    <w:p>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第三章  矿产资源勘查开发总体布局</w:t>
      </w:r>
      <w:r>
        <w:rPr>
          <w:rStyle w:val="10"/>
          <w:rFonts w:ascii="Times New Roman" w:hAnsi="Times New Roman"/>
          <w:sz w:val="30"/>
          <w:szCs w:val="30"/>
        </w:rPr>
        <w:tab/>
      </w:r>
      <w:r>
        <w:rPr>
          <w:rStyle w:val="10"/>
          <w:rFonts w:ascii="Times New Roman" w:hAnsi="Times New Roman"/>
          <w:sz w:val="30"/>
          <w:szCs w:val="30"/>
        </w:rPr>
        <w:t>16</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矿产资源勘查开发调控方向</w:t>
      </w:r>
      <w:r>
        <w:rPr>
          <w:rStyle w:val="10"/>
          <w:rFonts w:ascii="Times New Roman" w:hAnsi="Times New Roman"/>
          <w:sz w:val="30"/>
          <w:szCs w:val="30"/>
        </w:rPr>
        <w:tab/>
      </w:r>
      <w:r>
        <w:rPr>
          <w:rStyle w:val="10"/>
          <w:rFonts w:ascii="Times New Roman" w:hAnsi="Times New Roman"/>
          <w:sz w:val="30"/>
          <w:szCs w:val="30"/>
        </w:rPr>
        <w:t>16</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落实能源资源安全保障</w:t>
      </w:r>
      <w:r>
        <w:rPr>
          <w:rStyle w:val="10"/>
          <w:rFonts w:ascii="Times New Roman" w:hAnsi="Times New Roman"/>
          <w:sz w:val="30"/>
          <w:szCs w:val="30"/>
        </w:rPr>
        <w:tab/>
      </w:r>
      <w:r>
        <w:rPr>
          <w:rStyle w:val="10"/>
          <w:rFonts w:ascii="Times New Roman" w:hAnsi="Times New Roman"/>
          <w:sz w:val="30"/>
          <w:szCs w:val="30"/>
        </w:rPr>
        <w:t>16</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建筑用砂石土集中开采区</w:t>
      </w:r>
      <w:r>
        <w:rPr>
          <w:rStyle w:val="10"/>
          <w:rFonts w:ascii="Times New Roman" w:hAnsi="Times New Roman"/>
          <w:sz w:val="30"/>
          <w:szCs w:val="30"/>
        </w:rPr>
        <w:tab/>
      </w:r>
      <w:r>
        <w:rPr>
          <w:rStyle w:val="10"/>
          <w:rFonts w:ascii="Times New Roman" w:hAnsi="Times New Roman"/>
          <w:sz w:val="30"/>
          <w:szCs w:val="30"/>
        </w:rPr>
        <w:t>19</w:t>
      </w:r>
    </w:p>
    <w:p>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第四章  矿业结构调整与转型升级</w:t>
      </w:r>
      <w:r>
        <w:rPr>
          <w:rStyle w:val="10"/>
          <w:rFonts w:ascii="Times New Roman" w:hAnsi="Times New Roman"/>
          <w:sz w:val="30"/>
          <w:szCs w:val="30"/>
        </w:rPr>
        <w:tab/>
      </w:r>
      <w:r>
        <w:rPr>
          <w:rStyle w:val="10"/>
          <w:rFonts w:ascii="Times New Roman" w:hAnsi="Times New Roman"/>
          <w:sz w:val="30"/>
          <w:szCs w:val="30"/>
        </w:rPr>
        <w:t>20</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合理调控开采总量</w:t>
      </w:r>
      <w:r>
        <w:rPr>
          <w:rStyle w:val="10"/>
          <w:rFonts w:ascii="Times New Roman" w:hAnsi="Times New Roman"/>
          <w:sz w:val="30"/>
          <w:szCs w:val="30"/>
        </w:rPr>
        <w:tab/>
      </w:r>
      <w:r>
        <w:rPr>
          <w:rStyle w:val="10"/>
          <w:rFonts w:ascii="Times New Roman" w:hAnsi="Times New Roman"/>
          <w:sz w:val="30"/>
          <w:szCs w:val="30"/>
        </w:rPr>
        <w:t>20</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开发利用结构调整</w:t>
      </w:r>
      <w:r>
        <w:rPr>
          <w:rStyle w:val="10"/>
          <w:rFonts w:ascii="Times New Roman" w:hAnsi="Times New Roman"/>
          <w:sz w:val="30"/>
          <w:szCs w:val="30"/>
        </w:rPr>
        <w:tab/>
      </w:r>
      <w:r>
        <w:rPr>
          <w:rStyle w:val="10"/>
          <w:rFonts w:ascii="Times New Roman" w:hAnsi="Times New Roman"/>
          <w:sz w:val="30"/>
          <w:szCs w:val="30"/>
        </w:rPr>
        <w:t>20</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节约与综合利用</w:t>
      </w:r>
      <w:r>
        <w:rPr>
          <w:rStyle w:val="10"/>
          <w:rFonts w:ascii="Times New Roman" w:hAnsi="Times New Roman"/>
          <w:sz w:val="30"/>
          <w:szCs w:val="30"/>
        </w:rPr>
        <w:tab/>
      </w:r>
      <w:r>
        <w:rPr>
          <w:rStyle w:val="10"/>
          <w:rFonts w:ascii="Times New Roman" w:hAnsi="Times New Roman"/>
          <w:sz w:val="30"/>
          <w:szCs w:val="30"/>
        </w:rPr>
        <w:t>22</w:t>
      </w:r>
    </w:p>
    <w:p>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第五章  规划区块划定与勘查开采监督管理</w:t>
      </w:r>
      <w:r>
        <w:rPr>
          <w:rStyle w:val="10"/>
          <w:rFonts w:ascii="Times New Roman" w:hAnsi="Times New Roman"/>
          <w:sz w:val="30"/>
          <w:szCs w:val="30"/>
        </w:rPr>
        <w:tab/>
      </w:r>
      <w:r>
        <w:rPr>
          <w:rStyle w:val="10"/>
          <w:rFonts w:ascii="Times New Roman" w:hAnsi="Times New Roman"/>
          <w:sz w:val="30"/>
          <w:szCs w:val="30"/>
        </w:rPr>
        <w:t>24</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矿产资源勘查开采规划区块划定</w:t>
      </w:r>
      <w:r>
        <w:rPr>
          <w:rStyle w:val="10"/>
          <w:rFonts w:ascii="Times New Roman" w:hAnsi="Times New Roman"/>
          <w:sz w:val="30"/>
          <w:szCs w:val="30"/>
        </w:rPr>
        <w:tab/>
      </w:r>
      <w:r>
        <w:rPr>
          <w:rStyle w:val="10"/>
          <w:rFonts w:ascii="Times New Roman" w:hAnsi="Times New Roman"/>
          <w:sz w:val="30"/>
          <w:szCs w:val="30"/>
        </w:rPr>
        <w:t>24</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矿产资源勘查开采监督管理</w:t>
      </w:r>
      <w:r>
        <w:rPr>
          <w:rStyle w:val="10"/>
          <w:rFonts w:ascii="Times New Roman" w:hAnsi="Times New Roman"/>
          <w:sz w:val="30"/>
          <w:szCs w:val="30"/>
        </w:rPr>
        <w:tab/>
      </w:r>
      <w:r>
        <w:rPr>
          <w:rStyle w:val="10"/>
          <w:rFonts w:ascii="Times New Roman" w:hAnsi="Times New Roman"/>
          <w:sz w:val="30"/>
          <w:szCs w:val="30"/>
        </w:rPr>
        <w:t>25</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第三节  严格开采准入条件</w:t>
      </w:r>
      <w:r>
        <w:rPr>
          <w:rStyle w:val="10"/>
          <w:rFonts w:ascii="Times New Roman" w:hAnsi="Times New Roman"/>
          <w:sz w:val="30"/>
          <w:szCs w:val="30"/>
        </w:rPr>
        <w:tab/>
      </w:r>
      <w:r>
        <w:rPr>
          <w:rStyle w:val="10"/>
          <w:rFonts w:ascii="Times New Roman" w:hAnsi="Times New Roman"/>
          <w:sz w:val="30"/>
          <w:szCs w:val="30"/>
        </w:rPr>
        <w:t>27</w:t>
      </w:r>
    </w:p>
    <w:p>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第六章  绿色矿山建设与矿山地质环境治理</w:t>
      </w:r>
      <w:r>
        <w:rPr>
          <w:rStyle w:val="10"/>
          <w:rFonts w:ascii="Times New Roman" w:hAnsi="Times New Roman"/>
          <w:sz w:val="30"/>
          <w:szCs w:val="30"/>
        </w:rPr>
        <w:tab/>
      </w:r>
      <w:r>
        <w:rPr>
          <w:rStyle w:val="10"/>
          <w:rFonts w:ascii="Times New Roman" w:hAnsi="Times New Roman"/>
          <w:sz w:val="30"/>
          <w:szCs w:val="30"/>
        </w:rPr>
        <w:t>29</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第一节  全面推进绿色矿山建设</w:t>
      </w:r>
      <w:r>
        <w:rPr>
          <w:rStyle w:val="10"/>
          <w:rFonts w:ascii="Times New Roman" w:hAnsi="Times New Roman"/>
          <w:sz w:val="30"/>
          <w:szCs w:val="30"/>
        </w:rPr>
        <w:tab/>
      </w:r>
      <w:r>
        <w:rPr>
          <w:rStyle w:val="10"/>
          <w:rFonts w:ascii="Times New Roman" w:hAnsi="Times New Roman"/>
          <w:sz w:val="30"/>
          <w:szCs w:val="30"/>
        </w:rPr>
        <w:t>29</w:t>
      </w:r>
    </w:p>
    <w:p>
      <w:pPr>
        <w:pStyle w:val="31"/>
        <w:tabs>
          <w:tab w:val="right" w:leader="dot" w:pos="8306"/>
        </w:tabs>
        <w:rPr>
          <w:rStyle w:val="10"/>
          <w:rFonts w:ascii="Times New Roman" w:hAnsi="Times New Roman"/>
          <w:sz w:val="30"/>
          <w:szCs w:val="30"/>
        </w:rPr>
      </w:pPr>
      <w:r>
        <w:rPr>
          <w:rStyle w:val="10"/>
          <w:rFonts w:ascii="Times New Roman" w:hAnsi="Times New Roman" w:eastAsia="仿宋_GB2312"/>
          <w:sz w:val="30"/>
          <w:szCs w:val="30"/>
        </w:rPr>
        <w:t>第二节  着力加强矿山地质环境治理</w:t>
      </w:r>
      <w:r>
        <w:rPr>
          <w:rStyle w:val="10"/>
          <w:rFonts w:ascii="Times New Roman" w:hAnsi="Times New Roman"/>
          <w:sz w:val="30"/>
          <w:szCs w:val="30"/>
        </w:rPr>
        <w:tab/>
      </w:r>
      <w:r>
        <w:rPr>
          <w:rStyle w:val="10"/>
          <w:rFonts w:ascii="Times New Roman" w:hAnsi="Times New Roman"/>
          <w:sz w:val="30"/>
          <w:szCs w:val="30"/>
        </w:rPr>
        <w:t>31</w:t>
      </w:r>
    </w:p>
    <w:p>
      <w:pPr>
        <w:pStyle w:val="30"/>
        <w:tabs>
          <w:tab w:val="right" w:leader="dot" w:pos="8306"/>
        </w:tabs>
        <w:outlineLvl w:val="0"/>
        <w:rPr>
          <w:rStyle w:val="10"/>
          <w:rFonts w:ascii="Times New Roman" w:hAnsi="Times New Roman"/>
          <w:sz w:val="30"/>
          <w:szCs w:val="30"/>
        </w:rPr>
      </w:pPr>
      <w:r>
        <w:rPr>
          <w:rStyle w:val="10"/>
          <w:rFonts w:ascii="Times New Roman" w:hAnsi="Times New Roman" w:eastAsia="黑体"/>
          <w:sz w:val="30"/>
          <w:szCs w:val="30"/>
        </w:rPr>
        <w:t>第七章  规划实施保障措施</w:t>
      </w:r>
      <w:r>
        <w:rPr>
          <w:rStyle w:val="10"/>
          <w:rFonts w:ascii="Times New Roman" w:hAnsi="Times New Roman"/>
          <w:sz w:val="30"/>
          <w:szCs w:val="30"/>
        </w:rPr>
        <w:tab/>
      </w:r>
      <w:r>
        <w:rPr>
          <w:rStyle w:val="10"/>
          <w:rFonts w:ascii="Times New Roman" w:hAnsi="Times New Roman"/>
          <w:sz w:val="30"/>
          <w:szCs w:val="30"/>
        </w:rPr>
        <w:t>34</w:t>
      </w:r>
    </w:p>
    <w:p>
      <w:pPr>
        <w:spacing w:line="552" w:lineRule="auto"/>
        <w:jc w:val="center"/>
        <w:rPr>
          <w:rStyle w:val="10"/>
          <w:rFonts w:ascii="Times New Roman" w:hAnsi="Times New Roman" w:eastAsia="仿宋_GB2312"/>
          <w:sz w:val="30"/>
          <w:szCs w:val="30"/>
        </w:rPr>
      </w:pPr>
    </w:p>
    <w:p>
      <w:pPr>
        <w:rPr>
          <w:rStyle w:val="10"/>
          <w:rFonts w:ascii="仿宋_GB2312" w:eastAsia="仿宋_GB2312"/>
          <w:sz w:val="24"/>
        </w:rPr>
      </w:pPr>
    </w:p>
    <w:p>
      <w:pPr>
        <w:rPr>
          <w:rStyle w:val="10"/>
          <w:rFonts w:ascii="仿宋_GB2312" w:eastAsia="仿宋_GB2312"/>
          <w:sz w:val="24"/>
        </w:rPr>
      </w:pPr>
    </w:p>
    <w:p>
      <w:pPr>
        <w:rPr>
          <w:rStyle w:val="10"/>
          <w:rFonts w:ascii="仿宋_GB2312" w:eastAsia="仿宋_GB2312"/>
          <w:sz w:val="24"/>
        </w:rPr>
      </w:pPr>
    </w:p>
    <w:p>
      <w:pPr>
        <w:rPr>
          <w:rStyle w:val="10"/>
          <w:rFonts w:ascii="仿宋_GB2312" w:eastAsia="仿宋_GB2312"/>
          <w:sz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spacing w:before="312" w:beforeAutospacing="1" w:after="312" w:afterAutospacing="1" w:line="1280" w:lineRule="exact"/>
        <w:jc w:val="center"/>
        <w:outlineLvl w:val="1"/>
        <w:rPr>
          <w:rStyle w:val="10"/>
          <w:rFonts w:ascii="黑体" w:hAnsi="仿宋_GB2312" w:eastAsia="黑体"/>
          <w:sz w:val="32"/>
          <w:szCs w:val="32"/>
        </w:rPr>
      </w:pPr>
      <w:r>
        <w:rPr>
          <w:rStyle w:val="10"/>
          <w:rFonts w:ascii="黑体" w:hAnsi="仿宋_GB2312" w:eastAsia="黑体"/>
          <w:sz w:val="32"/>
          <w:szCs w:val="32"/>
        </w:rPr>
        <w:t>总  则</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为科学合理开发利用和保护矿产资源，深化矿产资源管理改革，促进矿业绿色低碳发展，服务高质量发展，依据《中华人民共和国矿产资源法》及其配套法律法规、《矿产资源规划编制实施办法》、《内蒙古自治区矿产资源总体规划（2021-2025年）》、《锡林郭勒盟矿产资源总体规划（2021-2025年）》、《锡林浩特市国民经济和社会发展第十四个五年规划纲要》等，编制《锡林浩特市矿产资源总体规划（2021-2025年）》（以下简称《规划》）。</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规划》是落实国家资源安全、加强和改善矿产资源宏观管理的重要手段，是依法审批和监督管理矿产资源勘查和开发利用与保护活动的重要依据。涉及与锡林浩特市矿产资源勘查开发活动的相关行业及区域规划，应与本《规划》做好衔接。</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《规划》适用范围为锡林浩特市所辖行政区域内的矿产资源。</w:t>
      </w:r>
    </w:p>
    <w:p>
      <w:pPr>
        <w:spacing w:line="360" w:lineRule="auto"/>
        <w:ind w:firstLine="482"/>
        <w:rPr>
          <w:rStyle w:val="10"/>
          <w:rFonts w:ascii="宋体" w:hAnsi="宋体" w:eastAsia="仿宋_GB2312"/>
          <w:sz w:val="32"/>
          <w:szCs w:val="28"/>
        </w:rPr>
      </w:pPr>
      <w:r>
        <w:rPr>
          <w:rStyle w:val="10"/>
          <w:rFonts w:ascii="宋体" w:hAnsi="宋体" w:eastAsia="仿宋_GB2312"/>
          <w:sz w:val="32"/>
          <w:szCs w:val="28"/>
        </w:rPr>
        <w:t>《规划》基期为2020年，规划期为2021-2025年，展望到2035年。</w:t>
      </w:r>
    </w:p>
    <w:p>
      <w:pPr>
        <w:spacing w:line="360" w:lineRule="auto"/>
        <w:ind w:firstLine="482"/>
        <w:rPr>
          <w:rStyle w:val="10"/>
          <w:rFonts w:ascii="宋体" w:hAnsi="宋体" w:eastAsia="仿宋_GB2312"/>
          <w:sz w:val="32"/>
          <w:szCs w:val="28"/>
        </w:rPr>
      </w:pPr>
    </w:p>
    <w:p>
      <w:pPr>
        <w:pStyle w:val="13"/>
        <w:spacing w:before="156" w:after="156" w:line="1280" w:lineRule="exact"/>
        <w:jc w:val="center"/>
        <w:outlineLvl w:val="0"/>
        <w:rPr>
          <w:rStyle w:val="10"/>
          <w:rFonts w:ascii="黑体" w:hAnsi="仿宋_GB2312" w:eastAsia="黑体"/>
          <w:sz w:val="32"/>
          <w:szCs w:val="32"/>
        </w:rPr>
      </w:pPr>
      <w:r>
        <w:rPr>
          <w:rStyle w:val="10"/>
          <w:rFonts w:ascii="仿宋_GB2312" w:hAnsi="仿宋_GB2312" w:eastAsia="仿宋_GB2312"/>
          <w:sz w:val="32"/>
          <w:szCs w:val="30"/>
        </w:rPr>
        <w:br w:type="page"/>
      </w:r>
      <w:r>
        <w:rPr>
          <w:rStyle w:val="10"/>
          <w:rFonts w:ascii="黑体" w:hAnsi="仿宋_GB2312" w:eastAsia="黑体"/>
          <w:sz w:val="32"/>
          <w:szCs w:val="32"/>
        </w:rPr>
        <w:t>第一章  现状与形势</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矿产资源现状</w:t>
      </w:r>
    </w:p>
    <w:p>
      <w:pPr>
        <w:ind w:firstLine="614" w:firstLineChars="192"/>
        <w:outlineLvl w:val="2"/>
        <w:rPr>
          <w:rStyle w:val="10"/>
          <w:rFonts w:ascii="黑体" w:hAnsi="宋体" w:eastAsia="黑体"/>
          <w:sz w:val="32"/>
          <w:szCs w:val="28"/>
        </w:rPr>
      </w:pPr>
      <w:r>
        <w:rPr>
          <w:rStyle w:val="10"/>
          <w:rFonts w:ascii="黑体" w:hAnsi="宋体" w:eastAsia="黑体"/>
          <w:sz w:val="32"/>
          <w:szCs w:val="28"/>
        </w:rPr>
        <w:t>一、自然地理与经济概况</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位于内蒙古自治区中部，地处东北、华北、西北交汇处，是锡林郭勒盟盟府所在地，全盟政治、经济、文化、教育和交通中心。地理坐标为北纬43°02′-44°52′，东经115°18′-117°06′。市境南北长208千米，东西长143千米，总面积14785平方千米，下辖3个苏木、1个镇、8个街道办事处、6个国有农牧场。2020年末，全市常住人口近35万人，是一个居住着汉、蒙、回、藏等多个民族的边疆少数民族地区。</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交通便捷，现代交通网络加快构建，公路总里程1555公里，国道207、303和省道101贯穿境内。铁路总里程376公里，已建成锡桑、锡多、锡乌、锡二、胜利东二号专用线、胜利西一、二号专用线等7条铁路。锡林浩特市4C级机场已开通北京、呼和浩特、包头、通辽、重庆等地多条航线。</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处于内蒙古高原中部，地势南高北低，南部为低山丘陵，北部为平缓的波状平原，平均海拔高度988.5米。地处中纬度西风气流带内，属中温带半干旱大陆性气候，降水量309毫米，无霜期144天。草地是锡林浩特市的主体生态要素，现状草地面积总计</w:t>
      </w:r>
      <w:r>
        <w:rPr>
          <w:rStyle w:val="10"/>
          <w:rFonts w:ascii="仿宋" w:hAnsi="仿宋" w:eastAsia="仿宋"/>
          <w:color w:val="323232"/>
          <w:sz w:val="28"/>
        </w:rPr>
        <w:t>13045</w:t>
      </w:r>
      <w:r>
        <w:rPr>
          <w:rStyle w:val="10"/>
          <w:rFonts w:ascii="宋体" w:hAnsi="宋体" w:eastAsia="仿宋_GB2312"/>
          <w:sz w:val="32"/>
          <w:szCs w:val="28"/>
        </w:rPr>
        <w:t>平方千米，占市域总面积的88.27%。锡林浩特市以拥有美丽富饶的天然草场而著称于世，被联合国教科文组织列入生物圈监测体系，全国第一个草地类自然保护区—锡林郭勒国家级草原自然保护区</w:t>
      </w:r>
      <w:r>
        <w:rPr>
          <w:rStyle w:val="10"/>
          <w:rFonts w:hint="eastAsia" w:ascii="宋体" w:hAnsi="宋体" w:eastAsia="仿宋_GB2312"/>
          <w:sz w:val="32"/>
          <w:szCs w:val="28"/>
          <w:lang w:val="en-US" w:eastAsia="zh-CN"/>
        </w:rPr>
        <w:t>坐</w:t>
      </w:r>
      <w:bookmarkStart w:id="0" w:name="_GoBack"/>
      <w:bookmarkEnd w:id="0"/>
      <w:r>
        <w:rPr>
          <w:rStyle w:val="10"/>
          <w:rFonts w:ascii="宋体" w:hAnsi="宋体" w:eastAsia="仿宋_GB2312"/>
          <w:sz w:val="32"/>
          <w:szCs w:val="28"/>
        </w:rPr>
        <w:t>落于锡林浩特市境内。</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近年来，锡林浩特市坚定不移走以生态优先、绿色发展为导向的高质量发展新路子，发展质量稳步提升，主要经济指标稳中向好。“十三五”时期，全市地区生产总值年均增长7.6%，占全盟的比重达到29.2%，总量继续保持全盟第一。三次产业结构调整为8.1:44.2:47.7，服务业占比提高5.5个百分点，产业结构明显优化。</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二、矿产资源概况</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锡林浩特市矿产资源较为丰富，是自治区重要的煤炭和锗金属矿产产地。截至2020年底，全市已发现各类矿产48种，列入《内蒙古自治区矿产资源储量表》的矿产有18种，上表矿产地共有38处，以煤炭矿产地居多，共有26处；其次为以锗、铌钽、铁、铬、铜等为主的金属矿产地，共有8处；非金属和水气矿产地较少，分别为2处和1处。资源储量规模达大、中型的上表矿产地有28处，占全市上表矿产地的73.68%，其中以煤炭矿产地居多，达22处，其次为金属矿产。已开发利用的上表矿产地有16处，占全市上表矿产地的42.11%，开发矿种以为煤炭为主，其余为铬矿、锗矿、锡多金属矿和水泥用灰岩。煤炭、锗、铌、钽、铷</w:t>
      </w:r>
      <w:r>
        <w:rPr>
          <w:rStyle w:val="10"/>
          <w:rFonts w:eastAsia="仿宋_GB2312"/>
          <w:color w:val="000000"/>
          <w:sz w:val="32"/>
          <w:szCs w:val="32"/>
        </w:rPr>
        <w:t>是本市的资源优势矿产</w:t>
      </w:r>
      <w:r>
        <w:rPr>
          <w:rStyle w:val="10"/>
          <w:rFonts w:ascii="宋体" w:hAnsi="宋体" w:eastAsia="仿宋_GB2312"/>
          <w:sz w:val="32"/>
          <w:szCs w:val="28"/>
        </w:rPr>
        <w:t>。</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是能源矿产富集区，以煤为主的能源矿产地集中分布在市内东北部的巴彦宝力格煤田和中部的胜利煤田。截至2020年底，全市煤炭保有资源量达到253.92亿吨，资源量规模达到大型的有13个、中型9个、小型4个。其中以胜利煤田最为突出，是目前全国煤层最厚、储量最大的褐煤煤田，也是自治区3个200亿吨以上煤田之一，已列入国家大型煤电基地；巴彦宝力格煤田是本市第二大型褐煤煤田。</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金属矿产多呈零散状分布于市内周边地区，均为多组份共伴生矿，以中小型矿产地为主，大型矿产地较少，仅有2处。其中1处为与褐煤共生的锗矿，分布于胜利煤田区，呈高品位富集，锗保有资源量为2287吨，占全国储量的68%，占世界储量的38%；另1处分布于石灰窑地区，为铌、钽、铷共生矿床，保有资源量分别为5150.15吨、6796.49吨和82020.74吨。本市所禀赋的锡矿、铬矿资源，在自治区也占有重要地位，是自治区该类矿种为数不多的主产区之一。铬矿和锡矿均有2处矿产地上表，其中，铬矿分布于市内北部赫格敖拉地区，保有金属资源量81.9万吨；锡矿分布于市内东部毛登牧场，保有金属资源量8184吨。上表的有色金属矿产地多数资源量规模较小，仅锡林浩特市扎拉格阿木矿区铜矿达到中型规模。</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非金属矿产有水泥用石灰岩和水泥配料用粘土矿区各1处，位于市内中部的砖瓦厂和石灰窑地区，储量规模均为小型。萤石、石墨、火山渣、建筑用辉绿岩、建筑用玄武岩、建筑用安山岩等受勘查程度与储量规模等影响，均未上表。</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本市上表水气矿产仅有1处，位于巴彦宝力格地区，资源量规模为中型，资源量为21000立方米/日。</w:t>
      </w:r>
    </w:p>
    <w:p>
      <w:pPr>
        <w:spacing w:before="156" w:line="360" w:lineRule="auto"/>
        <w:ind w:firstLine="614" w:firstLineChars="192"/>
        <w:outlineLvl w:val="2"/>
        <w:rPr>
          <w:rStyle w:val="10"/>
          <w:rFonts w:ascii="黑体" w:hAnsi="宋体" w:eastAsia="黑体"/>
          <w:sz w:val="32"/>
          <w:szCs w:val="28"/>
        </w:rPr>
      </w:pPr>
      <w:r>
        <w:rPr>
          <w:rStyle w:val="10"/>
          <w:rFonts w:ascii="黑体" w:hAnsi="宋体" w:eastAsia="黑体"/>
          <w:sz w:val="32"/>
          <w:szCs w:val="28"/>
        </w:rPr>
        <w:t>三、矿产资源勘查现状</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锡林浩特市基础地质调查工作程度较高。截至2020年底，全市1:20万及1:25万区域地质调查、区域地球化学测量、区域水文地质调查及中比例尺（1:5万）区域矿产地质调查、区域地球化学测量、航空物探综合测量已实现全覆盖或基本覆盖基岩出露区；1:5万区域地质调查工作覆盖度相对较低，调查面积刚过全市面积的50%。此外，2020年在本市开展了136平方千米的浅层地温能调查，全面了解了调查区浅层地温能背景参数，并分析了浅层地温能开发利用的可行性。</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截至2020年底，全市在期探矿权有12个，勘查总面积为518.62平方千米，勘查阶段均为勘探。勘查矿种以煤炭为主，涉及9个勘查项目；其次为地下水和金矿。</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四、矿产资源开发利用现状</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截至2020年底，全市共有在期非油气类采矿权13个，矿山13家，登记开采总面积为123.25平方千米，开采矿种包括煤、铬铁矿、锡矿、锗矿、普通萤石、橄榄岩、建筑用砂岩和建筑用安山岩8种。矿山按规模分，</w:t>
      </w:r>
      <w:r>
        <w:rPr>
          <w:rStyle w:val="10"/>
          <w:rFonts w:ascii="宋体" w:hAnsi="宋体" w:eastAsia="仿宋_GB2312" w:cs="Calibri"/>
          <w:bCs/>
          <w:sz w:val="32"/>
          <w:szCs w:val="32"/>
        </w:rPr>
        <w:t>大型7家，中型2家，小型4家，大中型矿山占矿山总数的69%；</w:t>
      </w:r>
      <w:r>
        <w:rPr>
          <w:rStyle w:val="10"/>
          <w:rFonts w:eastAsia="仿宋_GB2312"/>
          <w:color w:val="000000"/>
          <w:sz w:val="32"/>
          <w:szCs w:val="32"/>
        </w:rPr>
        <w:t>按开发利用状态分，</w:t>
      </w:r>
      <w:r>
        <w:rPr>
          <w:rStyle w:val="10"/>
          <w:rFonts w:ascii="宋体" w:hAnsi="宋体" w:eastAsia="仿宋_GB2312" w:cs="Calibri"/>
          <w:bCs/>
          <w:sz w:val="32"/>
          <w:szCs w:val="32"/>
        </w:rPr>
        <w:t>生产矿山6家，在建矿山2家，停产矿山5家；按开采方式分，露天开采8家，地下开采5家。全市矿山</w:t>
      </w:r>
      <w:r>
        <w:rPr>
          <w:rStyle w:val="10"/>
          <w:rFonts w:eastAsia="仿宋_GB2312" w:cs="Calibri"/>
          <w:bCs/>
          <w:sz w:val="32"/>
          <w:szCs w:val="28"/>
        </w:rPr>
        <w:t>实现矿业总产值为68.81亿元，综合利用产值为2020万元，利润总额为18.48亿元，年税金总额36.05亿元。</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煤炭矿山共5家，其中生产矿山是3家大型矿山，均为露天开采，从业人数共计2460人，原煤年产量3762.23万吨，实现矿业产值61.72亿元，占全市矿业产值的89.70%。</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金属矿山共4家，其中大型1家，中型1家，其余为小型，大中型矿山占金属矿山总数的50%。生产矿山是2家锗矿，均为露天开采，矿山规模为1个大型1个小型，年总产矿石量343.46万吨，实现矿业产值6.78亿元，占全市矿业产值的9.85%。</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非金属矿山共4家，其中大型2家，小型2家。仅有1家大型建筑用安山岩矿山在生产，开采方式为露天开采，从业人数20人，年产矿石量124.85万吨，实现矿业产值3069万元。</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上轮规划实施成效</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第三轮矿产资源规划实施以来，锡林浩特市紧紧围绕矿业转型升级和矿山生态环境保护与治理两大主题，逐步深化矿政管理改革，逐年落实规划任务，矿业绿色发展理念已深入人心，矿产资源开发布局结构更趋合理，开发秩序更加有序，废弃矿山治理取得成效，矿产资源开发利用与保护水平不断提高，为全市经济社会持续平稳健康发展提供了有力支撑。</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一、矿产勘查成效明显</w:t>
      </w:r>
    </w:p>
    <w:p>
      <w:pPr>
        <w:spacing w:line="360" w:lineRule="auto"/>
        <w:ind w:firstLine="640" w:firstLineChars="200"/>
        <w:rPr>
          <w:rStyle w:val="10"/>
          <w:rFonts w:eastAsia="仿宋_GB2312" w:cs="Calibri"/>
          <w:bCs/>
          <w:sz w:val="32"/>
          <w:szCs w:val="28"/>
        </w:rPr>
      </w:pPr>
      <w:r>
        <w:rPr>
          <w:rStyle w:val="10"/>
          <w:rFonts w:eastAsia="仿宋_GB2312"/>
          <w:sz w:val="32"/>
          <w:szCs w:val="28"/>
        </w:rPr>
        <w:t>三轮规划期间，全市</w:t>
      </w:r>
      <w:r>
        <w:rPr>
          <w:rStyle w:val="10"/>
          <w:rFonts w:eastAsia="仿宋_GB2312" w:cs="Calibri"/>
          <w:bCs/>
          <w:sz w:val="32"/>
          <w:szCs w:val="28"/>
        </w:rPr>
        <w:t>矿产资源勘查稳步推进，获得了一批新成果，新发现大中型矿产地4处，分别为巴彦宝力格煤田东区大型煤矿、乌尤特中型煤矿、石灰窑矿区大型铌钽矿和巴彦宝力格(II区)中型地下水。新增资源储量煤炭（333）118546万吨、铌金属量5150吨、钽金属量6796吨、铷金属量82020吨、地下水21000立方米/日，</w:t>
      </w:r>
      <w:r>
        <w:rPr>
          <w:rStyle w:val="10"/>
          <w:rFonts w:eastAsia="仿宋_GB2312"/>
          <w:sz w:val="32"/>
          <w:szCs w:val="32"/>
        </w:rPr>
        <w:t>为全市能源产业、新兴产业等的发展提供了资源保障。</w:t>
      </w:r>
    </w:p>
    <w:p>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二、矿产勘查开发布局结构更加优化</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全市自然保护区内已有的69个采矿权、16个探矿权，军事设施附近的4个采矿权，国家级地质公园内的1个采矿权全部退出，矿业权总数缩减到2020年底的25个，缩减率达75%；新设矿业权均避开自然保护区。全市矿山规模结构不断优化，大中型矿山比例由6%提高到69%。</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三、矿产资源利用更加高效</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矿产资源综合利用水平明显提高，</w:t>
      </w:r>
      <w:r>
        <w:rPr>
          <w:rStyle w:val="10"/>
          <w:rFonts w:eastAsia="仿宋_GB2312"/>
          <w:sz w:val="32"/>
          <w:szCs w:val="32"/>
        </w:rPr>
        <w:t>煤炭清洁高效利用水平持续提升，高精度煤炭洗选加工不断发展，高性能、高可靠性、智能化、大型选煤装备研发取得新进展。</w:t>
      </w:r>
      <w:r>
        <w:rPr>
          <w:rStyle w:val="10"/>
          <w:rFonts w:eastAsia="仿宋_GB2312" w:cs="Calibri"/>
          <w:bCs/>
          <w:sz w:val="32"/>
          <w:szCs w:val="28"/>
        </w:rPr>
        <w:t>矿山“三率”水平基本达到国家“三率”指标，其中</w:t>
      </w:r>
      <w:r>
        <w:rPr>
          <w:rStyle w:val="10"/>
          <w:rFonts w:eastAsia="仿宋_GB2312"/>
          <w:sz w:val="32"/>
          <w:szCs w:val="32"/>
        </w:rPr>
        <w:t>锗矿开采回采率达98%、选矿回收率达99%、综合利用率高达100%，煤矿开采回采率达97.21-99.30%、矿坑水综合利用率可达100%。</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四、矿业绿色发展初见成效</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全面推进绿色矿山建设，三轮规划期间，共有4家矿山企业被纳入国家或自治区绿色矿山名录，包括煤炭矿山2家，石油矿山2家。全市将在期露天矿山地质环境治理工作作为重点，督促所有在期露天矿山按照自然资源部《绿色矿山建设规范》重新修编《矿山地质环境保护与土地复垦方案》，并要求存在地质环境历史欠账的露天矿山企业制定整改方案，确保历史欠账问题“清零”。通过开展露天矿山综合整治，推动全市露天矿山建设水平全面提升，开采回采率、选矿回收率、综合利用率和废水、废气、废渣排放指标达到国家规定标准，露天矿山扬尘得到有效抑制，生态环境得到有效保护。历史形成的废弃无主采坑治理持续发力，5年时间，总投资近1.60亿元，实现总治理面积10.34平方千米。</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五、矿产资源监管制度进一步完善</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认真落实国家、自治区矿政管理要求，全面落实矿业权勘查开采信息公示和实地核查制度，对矿业权人履行法定义务和开发利用矿产资源进行监督管理；按年度组织实施矿山储量动态检测工作，加强了矿山储量动态管理；结合扫黑除恶专项斗争，开展严厉打击盗采砂石资源专项整治行动，有效维护砂石矿产资源开发秩序，切实保障了全市砂石市场的稳定发展。</w:t>
      </w:r>
    </w:p>
    <w:p>
      <w:pPr>
        <w:pStyle w:val="14"/>
        <w:spacing w:before="0" w:after="0" w:line="960" w:lineRule="exact"/>
        <w:jc w:val="center"/>
        <w:outlineLvl w:val="1"/>
        <w:rPr>
          <w:rStyle w:val="10"/>
          <w:rFonts w:ascii="宋体" w:hAnsi="宋体" w:eastAsia="仿宋_GB2312"/>
        </w:rPr>
      </w:pPr>
      <w:r>
        <w:rPr>
          <w:rStyle w:val="10"/>
          <w:rFonts w:ascii="宋体" w:hAnsi="宋体" w:eastAsia="仿宋_GB2312"/>
        </w:rPr>
        <w:t>第三节  形势与要求</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当今世界正经历新冠疫情叠加的百年未有之大变局，国内外发展环境面临深刻复杂变化，但我国经济稳中向好、长期向好的基本面没有改变。“十四五”时期是国家乘势而上开启全面建设社会主义现代化国家新征程、向第二个百年奋斗目标进军的第一个五年，是自治区坚定不移走以生态优先绿色发展为导向的高质量发展新路子、重塑空间格局的关键时期，也是锡林浩特市加快转型升级、实现高质量发展的关键时期，这一时期锡林浩特市的矿业发展必将面临新的机遇和挑战。</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一、生态文明建设深入推进，要求矿业转型升级、绿色发展</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党的十九大将生态文明历史性地写入宪法，国家把自治区定位为我国北方重要生态安全屏障，以及锡林浩特市将自身定位为</w:t>
      </w:r>
      <w:r>
        <w:rPr>
          <w:rStyle w:val="10"/>
          <w:rFonts w:hAnsi="宋体" w:eastAsia="仿宋_GB2312" w:cs="Calibri"/>
          <w:bCs/>
          <w:sz w:val="32"/>
          <w:szCs w:val="28"/>
        </w:rPr>
        <w:t>国家清洁能源转化基地、国家级全域旅游示范区等，均</w:t>
      </w:r>
      <w:r>
        <w:rPr>
          <w:rStyle w:val="10"/>
          <w:rFonts w:eastAsia="仿宋_GB2312" w:cs="Calibri"/>
          <w:bCs/>
          <w:sz w:val="32"/>
          <w:szCs w:val="28"/>
        </w:rPr>
        <w:t>对矿业发展提出了新的更高要求，推动矿业转型发展、绿色发展势在必行</w:t>
      </w:r>
      <w:r>
        <w:rPr>
          <w:rStyle w:val="10"/>
          <w:rFonts w:hAnsi="宋体" w:eastAsia="仿宋_GB2312" w:cs="Calibri"/>
          <w:bCs/>
          <w:sz w:val="32"/>
          <w:szCs w:val="28"/>
        </w:rPr>
        <w:t>，</w:t>
      </w:r>
      <w:r>
        <w:rPr>
          <w:rStyle w:val="10"/>
          <w:rFonts w:eastAsia="仿宋_GB2312" w:cs="Calibri"/>
          <w:bCs/>
          <w:sz w:val="32"/>
          <w:szCs w:val="28"/>
        </w:rPr>
        <w:t>今后的矿产资源管理和矿业发展中必须将生态环境保护放在更加突出的位置，</w:t>
      </w:r>
      <w:r>
        <w:rPr>
          <w:rStyle w:val="10"/>
          <w:rFonts w:hAnsi="宋体" w:eastAsia="仿宋_GB2312" w:cs="Calibri"/>
          <w:bCs/>
          <w:sz w:val="32"/>
          <w:szCs w:val="28"/>
        </w:rPr>
        <w:t>必须加强开发利用监督，大力推进绿色矿山建设，推动矿山企业转型升级，提高资源利用效率，从源头上减少碳排放。</w:t>
      </w:r>
    </w:p>
    <w:p>
      <w:pPr>
        <w:spacing w:before="156"/>
        <w:ind w:firstLine="614" w:firstLineChars="192"/>
        <w:outlineLvl w:val="2"/>
        <w:rPr>
          <w:rStyle w:val="10"/>
          <w:rFonts w:ascii="黑体" w:hAnsi="宋体" w:eastAsia="黑体"/>
          <w:sz w:val="32"/>
          <w:szCs w:val="28"/>
        </w:rPr>
      </w:pPr>
      <w:r>
        <w:rPr>
          <w:rStyle w:val="10"/>
          <w:rFonts w:ascii="黑体" w:hAnsi="宋体" w:eastAsia="黑体"/>
          <w:sz w:val="32"/>
          <w:szCs w:val="28"/>
        </w:rPr>
        <w:t>二、保障国家能源资源安全，要求加强矿产资源勘查、保护和合理开发</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近年来，随着矿产资源安全问题日益成为世界各国普遍关注的焦点，矿产资源安全已成为国家经济安全的核心。从我国经济发展阶段、能源资源禀赋特点以及煤炭资源的可靠性、利用的可洁净性来看，在未来相当长时期内，煤炭仍将是我国能源安全稳定供应的压舱石。而煤炭作为锡林浩特市的优势矿产，</w:t>
      </w:r>
      <w:r>
        <w:rPr>
          <w:rStyle w:val="10"/>
          <w:rFonts w:ascii="仿宋_GB2312" w:eastAsia="仿宋_GB2312"/>
          <w:color w:val="000000"/>
          <w:sz w:val="32"/>
          <w:szCs w:val="32"/>
        </w:rPr>
        <w:t>产业发展层次仍然较低，资源保护力度有待加强，需要配合国家、自治区做好矿产资源保护区的建设，提升保障能力。</w:t>
      </w:r>
    </w:p>
    <w:p>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三、自治区走高质量发展之路，要求不断优化矿业结构、高效利用资源</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走以生态优先、绿色发展为导向的高质量发展新路子，是习近平总书记和党中央为新时代内蒙古发展确定的行动纲领，这就要求锡林浩特市的矿业也必须走高质量发展之路。</w:t>
      </w:r>
      <w:r>
        <w:rPr>
          <w:rStyle w:val="10"/>
          <w:rFonts w:ascii="仿宋_GB2312" w:eastAsia="仿宋_GB2312"/>
          <w:sz w:val="32"/>
          <w:szCs w:val="32"/>
        </w:rPr>
        <w:t>全市煤炭、锗等矿产资源丰富，具有资源优势，且能源资源开发具备一定的规模和基础，在新形势下必将迎来发展的机遇期。</w:t>
      </w:r>
      <w:r>
        <w:rPr>
          <w:rStyle w:val="10"/>
          <w:rFonts w:hAnsi="宋体" w:eastAsia="仿宋_GB2312" w:cs="Calibri"/>
          <w:bCs/>
          <w:sz w:val="32"/>
          <w:szCs w:val="28"/>
        </w:rPr>
        <w:t>目前，全市停产矿山较多，煤炭停留在初步加工与利用阶段，资源型工业仍占主导到位，资源利用效率偏低，急需加快矿业开发结构转型升级。“十四五”时期，需加速规范现有矿山企业，推动煤矿智能化建设，全面提高资源利用效率，进一步优化矿业开发布局，努力构建科技含量高、资源消耗低、环境污染小的矿业发展新模式。</w:t>
      </w:r>
    </w:p>
    <w:p>
      <w:pPr>
        <w:spacing w:before="156"/>
        <w:ind w:firstLine="614" w:firstLineChars="192"/>
        <w:outlineLvl w:val="2"/>
        <w:rPr>
          <w:rStyle w:val="10"/>
          <w:rFonts w:ascii="黑体" w:hAnsi="宋体" w:eastAsia="黑体"/>
          <w:sz w:val="32"/>
          <w:szCs w:val="28"/>
          <w:highlight w:val="yellow"/>
        </w:rPr>
      </w:pPr>
      <w:r>
        <w:rPr>
          <w:rStyle w:val="10"/>
          <w:rFonts w:ascii="黑体" w:hAnsi="宋体" w:eastAsia="黑体"/>
          <w:sz w:val="32"/>
          <w:szCs w:val="28"/>
        </w:rPr>
        <w:t>四、深化矿产资源管理改革，要求不断完善矿产资源管理体制机制</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随着“放管服”改革全面优化营商环境持续深化，要求进一步规范和加强矿产资源勘查开采监督管理，促进矿产资源勘查开采秩序持续好转，助推矿产资源领域治理能力现代化。国家和自治区矿产资源管理改革要求推进“净矿”出让，锡林浩特市承接了本市普通建筑用砂石土采矿权审批权限，有责任先行先试，探索开展建筑用砂石土的“净矿”出让，建立健全相关体制机制，促进矿产资源资产价值实现，保障矿业权人的合法权益，促进矿业可持续发展。</w:t>
      </w:r>
    </w:p>
    <w:p>
      <w:pPr>
        <w:spacing w:line="360" w:lineRule="auto"/>
        <w:ind w:firstLine="640" w:firstLineChars="200"/>
        <w:rPr>
          <w:rStyle w:val="10"/>
          <w:rFonts w:hAnsi="宋体" w:eastAsia="仿宋_GB2312" w:cs="Calibri"/>
          <w:bCs/>
          <w:sz w:val="32"/>
          <w:szCs w:val="28"/>
          <w:highlight w:val="yellow"/>
        </w:rPr>
      </w:pPr>
    </w:p>
    <w:p>
      <w:pPr>
        <w:spacing w:line="360" w:lineRule="auto"/>
        <w:rPr>
          <w:rStyle w:val="10"/>
          <w:rFonts w:ascii="宋体" w:hAnsi="宋体" w:eastAsia="仿宋_GB2312"/>
          <w:b/>
          <w:sz w:val="32"/>
          <w:szCs w:val="28"/>
        </w:rPr>
        <w:sectPr>
          <w:footerReference r:id="rId5" w:type="default"/>
          <w:pgSz w:w="11906" w:h="16838"/>
          <w:pgMar w:top="1440" w:right="1800" w:bottom="1440" w:left="1800" w:header="851" w:footer="992" w:gutter="0"/>
          <w:pgNumType w:start="1"/>
          <w:cols w:space="425" w:num="1"/>
          <w:docGrid w:type="lines" w:linePitch="312" w:charSpace="0"/>
        </w:sectPr>
      </w:pPr>
    </w:p>
    <w:p>
      <w:pPr>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第二章  指导思想、基本原则与规划目标</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指导思想</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以习近平新时代中国特色社会主义思想为指导，全面贯彻党的十九大和十九届历次全会精神，深入贯彻习近平生态文明思想和习近平总书记考察内蒙古重要讲话重要指示重要批示精神，全面落实自治区第十一次党代会精神，认真落实锡林郭勒盟委、行署重大决策部署，立足新发展阶段，贯彻新发展理念，服务融入新发展格局，以矿产资源安全保障为目标，以矿业绿色发展为统领，以服务民生发展为重点，</w:t>
      </w:r>
      <w:r>
        <w:rPr>
          <w:rStyle w:val="10"/>
          <w:rFonts w:eastAsia="仿宋_GB2312"/>
          <w:color w:val="000000"/>
          <w:sz w:val="32"/>
          <w:szCs w:val="32"/>
        </w:rPr>
        <w:t>统筹好环境保护与资源开发强度，</w:t>
      </w:r>
      <w:r>
        <w:rPr>
          <w:rStyle w:val="10"/>
          <w:rFonts w:ascii="仿宋_GB2312" w:eastAsia="仿宋_GB2312"/>
          <w:color w:val="000000"/>
          <w:sz w:val="32"/>
          <w:szCs w:val="32"/>
        </w:rPr>
        <w:t>严格控制矿山数量，提高资源利用效率，全面推进绿色矿山建设，加强矿山地质环境治理，</w:t>
      </w:r>
      <w:r>
        <w:rPr>
          <w:rStyle w:val="10"/>
          <w:rFonts w:ascii="宋体" w:hAnsi="宋体" w:eastAsia="仿宋_GB2312"/>
          <w:sz w:val="32"/>
          <w:szCs w:val="28"/>
        </w:rPr>
        <w:t>促进全市矿业转型高质量发展。</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基本原则</w:t>
      </w:r>
    </w:p>
    <w:p>
      <w:pPr>
        <w:keepLines/>
        <w:spacing w:after="156" w:line="640" w:lineRule="exact"/>
        <w:ind w:firstLine="640" w:firstLineChars="200"/>
        <w:outlineLvl w:val="2"/>
        <w:rPr>
          <w:rStyle w:val="10"/>
          <w:rFonts w:ascii="黑体" w:hAnsi="宋体" w:eastAsia="黑体"/>
          <w:b/>
          <w:kern w:val="0"/>
          <w:sz w:val="32"/>
          <w:szCs w:val="28"/>
        </w:rPr>
      </w:pPr>
      <w:r>
        <w:rPr>
          <w:rStyle w:val="10"/>
          <w:rFonts w:ascii="黑体" w:eastAsia="黑体" w:cs="Calibri"/>
          <w:bCs/>
          <w:kern w:val="0"/>
          <w:sz w:val="32"/>
          <w:szCs w:val="28"/>
        </w:rPr>
        <w:t>一、</w:t>
      </w:r>
      <w:r>
        <w:rPr>
          <w:rStyle w:val="10"/>
          <w:rFonts w:ascii="黑体" w:hAnsi="宋体" w:eastAsia="黑体" w:cs="Calibri"/>
          <w:bCs/>
          <w:kern w:val="0"/>
          <w:sz w:val="32"/>
          <w:szCs w:val="28"/>
        </w:rPr>
        <w:t>坚持</w:t>
      </w:r>
      <w:r>
        <w:rPr>
          <w:rStyle w:val="10"/>
          <w:rFonts w:ascii="黑体" w:eastAsia="黑体" w:cs="Calibri"/>
          <w:bCs/>
          <w:kern w:val="0"/>
          <w:sz w:val="32"/>
          <w:szCs w:val="28"/>
        </w:rPr>
        <w:t>生态</w:t>
      </w:r>
      <w:r>
        <w:rPr>
          <w:rStyle w:val="10"/>
          <w:rFonts w:ascii="黑体" w:hAnsi="宋体" w:eastAsia="黑体" w:cs="Calibri"/>
          <w:bCs/>
          <w:kern w:val="0"/>
          <w:sz w:val="32"/>
          <w:szCs w:val="28"/>
        </w:rPr>
        <w:t>优先，绿色发展</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牢牢把握我国北方重要生态安全屏障定位，</w:t>
      </w:r>
      <w:r>
        <w:rPr>
          <w:rStyle w:val="10"/>
          <w:rFonts w:ascii="仿宋_GB2312" w:eastAsia="仿宋_GB2312"/>
          <w:color w:val="000000"/>
          <w:kern w:val="0"/>
          <w:sz w:val="32"/>
          <w:szCs w:val="32"/>
        </w:rPr>
        <w:t>严格落实国土空间管控要求，做好与生态保护红线、</w:t>
      </w:r>
      <w:r>
        <w:rPr>
          <w:rStyle w:val="10"/>
          <w:rFonts w:ascii="仿宋_GB2312" w:eastAsia="仿宋_GB2312"/>
          <w:color w:val="000000"/>
          <w:sz w:val="32"/>
          <w:szCs w:val="32"/>
        </w:rPr>
        <w:t>水资源红线</w:t>
      </w:r>
      <w:r>
        <w:rPr>
          <w:rStyle w:val="10"/>
          <w:rFonts w:ascii="仿宋_GB2312" w:eastAsia="仿宋_GB2312"/>
          <w:color w:val="000000"/>
          <w:kern w:val="0"/>
          <w:sz w:val="32"/>
          <w:szCs w:val="32"/>
        </w:rPr>
        <w:t>和自然保护地、永久基本农田的衔接。</w:t>
      </w:r>
      <w:r>
        <w:rPr>
          <w:rStyle w:val="10"/>
          <w:rFonts w:hAnsi="宋体" w:eastAsia="仿宋_GB2312" w:cs="Calibri"/>
          <w:bCs/>
          <w:sz w:val="32"/>
          <w:szCs w:val="28"/>
        </w:rPr>
        <w:t>树立矿业绿色发展理念，构建绿色开发格局，发展绿色矿业、建设绿色矿山，强化矿山地质环境治理。</w:t>
      </w:r>
    </w:p>
    <w:p>
      <w:pPr>
        <w:keepLines/>
        <w:spacing w:after="156" w:line="640" w:lineRule="exact"/>
        <w:ind w:firstLine="640" w:firstLineChars="200"/>
        <w:outlineLvl w:val="2"/>
        <w:rPr>
          <w:rStyle w:val="10"/>
          <w:rFonts w:ascii="黑体" w:hAnsi="宋体" w:eastAsia="黑体" w:cs="Calibri"/>
          <w:bCs/>
          <w:kern w:val="0"/>
          <w:sz w:val="32"/>
          <w:szCs w:val="28"/>
        </w:rPr>
      </w:pPr>
      <w:r>
        <w:rPr>
          <w:rStyle w:val="10"/>
          <w:rFonts w:hint="eastAsia" w:ascii="黑体" w:eastAsia="黑体" w:cs="Calibri"/>
          <w:bCs/>
          <w:kern w:val="0"/>
          <w:sz w:val="32"/>
          <w:szCs w:val="28"/>
        </w:rPr>
        <w:t>二</w:t>
      </w:r>
      <w:r>
        <w:rPr>
          <w:rStyle w:val="10"/>
          <w:rFonts w:ascii="黑体" w:eastAsia="黑体" w:cs="Calibri"/>
          <w:bCs/>
          <w:kern w:val="0"/>
          <w:sz w:val="32"/>
          <w:szCs w:val="28"/>
        </w:rPr>
        <w:t>、</w:t>
      </w:r>
      <w:r>
        <w:rPr>
          <w:rStyle w:val="10"/>
          <w:rFonts w:ascii="黑体" w:hAnsi="宋体" w:eastAsia="黑体" w:cs="Calibri"/>
          <w:bCs/>
          <w:kern w:val="0"/>
          <w:sz w:val="32"/>
          <w:szCs w:val="28"/>
        </w:rPr>
        <w:t>坚持需求导向，重点保障</w:t>
      </w:r>
    </w:p>
    <w:p>
      <w:pPr>
        <w:spacing w:line="360" w:lineRule="auto"/>
        <w:ind w:firstLine="640" w:firstLineChars="200"/>
      </w:pPr>
      <w:r>
        <w:rPr>
          <w:rStyle w:val="10"/>
          <w:rFonts w:hAnsi="宋体" w:eastAsia="仿宋_GB2312" w:cs="Calibri"/>
          <w:bCs/>
          <w:sz w:val="32"/>
          <w:szCs w:val="28"/>
        </w:rPr>
        <w:t>依托能源资源基地、国家规划矿区，提升矿产资源高质量供给水平，保障国家能源安全稳定供应。立足资源服务社会发展和改善民生，统筹资源禀赋、运输半径、生态制约等因素，科学合理规划建筑用砂石开采区块，增强矿产资源的有效供给。</w:t>
      </w:r>
    </w:p>
    <w:p>
      <w:pPr>
        <w:keepLines/>
        <w:spacing w:after="156" w:line="640" w:lineRule="exact"/>
        <w:ind w:firstLine="640" w:firstLineChars="200"/>
        <w:outlineLvl w:val="2"/>
        <w:rPr>
          <w:rStyle w:val="10"/>
          <w:rFonts w:ascii="黑体" w:hAnsi="宋体" w:eastAsia="黑体"/>
          <w:b/>
          <w:kern w:val="0"/>
          <w:sz w:val="32"/>
          <w:szCs w:val="28"/>
        </w:rPr>
      </w:pPr>
      <w:r>
        <w:rPr>
          <w:rStyle w:val="10"/>
          <w:rFonts w:hint="eastAsia" w:ascii="黑体" w:eastAsia="黑体" w:cs="Calibri"/>
          <w:bCs/>
          <w:kern w:val="0"/>
          <w:sz w:val="32"/>
          <w:szCs w:val="28"/>
        </w:rPr>
        <w:t>三</w:t>
      </w:r>
      <w:r>
        <w:rPr>
          <w:rStyle w:val="10"/>
          <w:rFonts w:ascii="黑体" w:eastAsia="黑体" w:cs="Calibri"/>
          <w:bCs/>
          <w:kern w:val="0"/>
          <w:sz w:val="32"/>
          <w:szCs w:val="28"/>
        </w:rPr>
        <w:t>、</w:t>
      </w:r>
      <w:r>
        <w:rPr>
          <w:rStyle w:val="10"/>
          <w:rFonts w:ascii="黑体" w:hAnsi="宋体" w:eastAsia="黑体" w:cs="Calibri"/>
          <w:bCs/>
          <w:kern w:val="0"/>
          <w:sz w:val="32"/>
          <w:szCs w:val="28"/>
        </w:rPr>
        <w:t>坚持优化结构，高效利用</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合理调控矿产资源开发强度，提高矿产资源开采准入条件和开发利用水平，优化调整矿产资源开发利用结构，强化资源开发利用全过程管理，健全资源节约与综合利用制度，提高资源就地转化率，推动矿产资源集约与高效利用。</w:t>
      </w:r>
    </w:p>
    <w:p>
      <w:pPr>
        <w:keepLines/>
        <w:spacing w:after="156" w:line="640" w:lineRule="exact"/>
        <w:ind w:firstLine="640" w:firstLineChars="200"/>
        <w:outlineLvl w:val="2"/>
        <w:rPr>
          <w:rStyle w:val="10"/>
          <w:rFonts w:ascii="黑体" w:hAnsi="宋体" w:eastAsia="黑体" w:cs="Calibri"/>
          <w:bCs/>
          <w:kern w:val="0"/>
          <w:sz w:val="32"/>
          <w:szCs w:val="28"/>
        </w:rPr>
      </w:pPr>
      <w:r>
        <w:rPr>
          <w:rStyle w:val="10"/>
          <w:rFonts w:ascii="黑体" w:eastAsia="黑体" w:cs="Calibri"/>
          <w:bCs/>
          <w:kern w:val="0"/>
          <w:sz w:val="32"/>
          <w:szCs w:val="28"/>
        </w:rPr>
        <w:t>四、坚持强化监管，规范发展</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持续深化“放管服”改革，改进监管思路，创新监管方式，进一步规范和加强矿产资源勘查开采监督管理，强化事中事后监管，促进矿产资源勘查开采秩序持续好转，助推矿产资源领域治理能力现代化。</w:t>
      </w:r>
    </w:p>
    <w:p>
      <w:pPr>
        <w:spacing w:line="360" w:lineRule="auto"/>
        <w:ind w:firstLine="640" w:firstLineChars="200"/>
        <w:rPr>
          <w:rStyle w:val="10"/>
          <w:rFonts w:hAnsi="宋体" w:eastAsia="仿宋_GB2312" w:cs="Calibri"/>
          <w:bCs/>
          <w:sz w:val="32"/>
          <w:szCs w:val="28"/>
        </w:rPr>
      </w:pPr>
    </w:p>
    <w:p>
      <w:pPr>
        <w:spacing w:line="360" w:lineRule="auto"/>
        <w:ind w:firstLine="640" w:firstLineChars="200"/>
        <w:rPr>
          <w:rStyle w:val="10"/>
          <w:rFonts w:hAnsi="宋体" w:eastAsia="仿宋_GB2312" w:cs="Calibri"/>
          <w:bCs/>
          <w:sz w:val="32"/>
          <w:szCs w:val="28"/>
        </w:rPr>
      </w:pPr>
    </w:p>
    <w:p>
      <w:pPr>
        <w:pStyle w:val="14"/>
        <w:spacing w:before="312" w:beforeAutospacing="1" w:after="312" w:afterAutospacing="1" w:line="900" w:lineRule="exact"/>
        <w:jc w:val="center"/>
        <w:outlineLvl w:val="1"/>
        <w:rPr>
          <w:rStyle w:val="10"/>
          <w:rFonts w:ascii="宋体" w:hAnsi="宋体" w:eastAsia="仿宋_GB2312"/>
        </w:rPr>
      </w:pPr>
      <w:r>
        <w:rPr>
          <w:rStyle w:val="10"/>
          <w:rFonts w:ascii="宋体" w:hAnsi="宋体" w:eastAsia="仿宋_GB2312"/>
        </w:rPr>
        <w:t>第三节  规划目标</w:t>
      </w:r>
    </w:p>
    <w:p>
      <w:pPr>
        <w:keepLines/>
        <w:spacing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一、2025年目标</w:t>
      </w:r>
    </w:p>
    <w:p>
      <w:pPr>
        <w:pStyle w:val="25"/>
        <w:spacing w:line="360" w:lineRule="auto"/>
        <w:ind w:firstLine="614" w:firstLineChars="192"/>
        <w:rPr>
          <w:rStyle w:val="10"/>
          <w:rFonts w:hAnsi="宋体" w:eastAsia="仿宋_GB2312"/>
          <w:color w:val="000000"/>
          <w:sz w:val="32"/>
          <w:szCs w:val="28"/>
        </w:rPr>
      </w:pPr>
      <w:r>
        <w:rPr>
          <w:rStyle w:val="10"/>
          <w:rFonts w:eastAsia="仿宋_GB2312"/>
          <w:color w:val="000000"/>
          <w:sz w:val="32"/>
          <w:szCs w:val="28"/>
        </w:rPr>
        <w:t>到2025年，全市勘查开发空间布局更趋合理，资源供应更加稳定，</w:t>
      </w:r>
      <w:r>
        <w:rPr>
          <w:rStyle w:val="10"/>
          <w:rFonts w:hAnsi="宋体" w:eastAsia="仿宋_GB2312"/>
          <w:color w:val="000000"/>
          <w:sz w:val="32"/>
          <w:szCs w:val="28"/>
        </w:rPr>
        <w:t>呈现矿产资源勘查开发与环境保护协调发展新格局。</w:t>
      </w:r>
    </w:p>
    <w:p>
      <w:pPr>
        <w:pStyle w:val="25"/>
        <w:spacing w:line="360" w:lineRule="auto"/>
        <w:ind w:firstLine="617" w:firstLineChars="192"/>
        <w:rPr>
          <w:rStyle w:val="10"/>
          <w:rFonts w:ascii="仿宋_GB2312" w:eastAsia="仿宋_GB2312"/>
          <w:color w:val="000000"/>
          <w:sz w:val="32"/>
          <w:szCs w:val="32"/>
        </w:rPr>
      </w:pPr>
      <w:r>
        <w:rPr>
          <w:rStyle w:val="10"/>
          <w:rFonts w:eastAsia="仿宋_GB2312"/>
          <w:b/>
          <w:color w:val="000000"/>
          <w:sz w:val="32"/>
        </w:rPr>
        <w:t>矿产资源开发利用布局更加优化。</w:t>
      </w:r>
      <w:r>
        <w:rPr>
          <w:rStyle w:val="10"/>
          <w:rFonts w:ascii="仿宋_GB2312" w:eastAsia="仿宋_GB2312"/>
          <w:color w:val="000000"/>
          <w:sz w:val="32"/>
          <w:szCs w:val="32"/>
        </w:rPr>
        <w:t>落实上级规划划定的矿产资源保护区和建筑用砂石土集中开采区，各类分区对矿产资源勘查开发行为的引导集聚作用更加明显。</w:t>
      </w:r>
    </w:p>
    <w:p>
      <w:pPr>
        <w:pStyle w:val="25"/>
        <w:spacing w:line="360" w:lineRule="auto"/>
        <w:ind w:firstLine="617" w:firstLineChars="192"/>
        <w:rPr>
          <w:rStyle w:val="10"/>
          <w:rFonts w:eastAsia="仿宋_GB2312"/>
          <w:color w:val="000000"/>
          <w:sz w:val="32"/>
        </w:rPr>
      </w:pPr>
      <w:r>
        <w:rPr>
          <w:rStyle w:val="10"/>
          <w:rFonts w:eastAsia="仿宋_GB2312"/>
          <w:b/>
          <w:color w:val="000000"/>
          <w:sz w:val="32"/>
        </w:rPr>
        <w:t>矿产资源开发利用水平进一步提高。</w:t>
      </w:r>
      <w:r>
        <w:rPr>
          <w:rStyle w:val="10"/>
          <w:rFonts w:eastAsia="仿宋_GB2312"/>
          <w:color w:val="000000"/>
          <w:sz w:val="32"/>
        </w:rPr>
        <w:t>矿产资源开采规模化、集约化程度进一步提高，在期非油气类矿山总数控制在16个以内，大中型矿山比例保持在70%以上，新建普通建筑用砂石土矿山最低开采规模达中型以上，矿山“三率”水平达到国家标准。</w:t>
      </w:r>
    </w:p>
    <w:p>
      <w:pPr>
        <w:pStyle w:val="25"/>
        <w:spacing w:line="360" w:lineRule="auto"/>
        <w:ind w:firstLine="617" w:firstLineChars="192"/>
        <w:rPr>
          <w:rStyle w:val="10"/>
          <w:rFonts w:hAnsi="宋体" w:eastAsia="仿宋_GB2312"/>
          <w:color w:val="000000"/>
          <w:sz w:val="32"/>
          <w:szCs w:val="28"/>
        </w:rPr>
      </w:pPr>
      <w:r>
        <w:rPr>
          <w:rStyle w:val="10"/>
          <w:rFonts w:hAnsi="宋体" w:eastAsia="仿宋_GB2312"/>
          <w:b/>
          <w:color w:val="000000"/>
          <w:sz w:val="32"/>
          <w:szCs w:val="28"/>
        </w:rPr>
        <w:t>矿业绿色发展再上新台阶。</w:t>
      </w:r>
      <w:r>
        <w:rPr>
          <w:rStyle w:val="10"/>
          <w:rFonts w:hAnsi="宋体" w:eastAsia="仿宋_GB2312"/>
          <w:color w:val="000000"/>
          <w:sz w:val="32"/>
          <w:szCs w:val="28"/>
        </w:rPr>
        <w:t>矿业绿色发展长效机制基本建立，新建矿山和在期生产矿山均按绿色矿山建设要求建设，力争在规划期内建成6个绿色矿山。</w:t>
      </w:r>
      <w:r>
        <w:rPr>
          <w:rStyle w:val="10"/>
          <w:rFonts w:eastAsia="仿宋_GB2312"/>
          <w:color w:val="000000"/>
          <w:sz w:val="32"/>
          <w:szCs w:val="28"/>
        </w:rPr>
        <w:t>矿</w:t>
      </w:r>
      <w:r>
        <w:rPr>
          <w:rStyle w:val="10"/>
          <w:rFonts w:hAnsi="宋体" w:eastAsia="仿宋_GB2312"/>
          <w:color w:val="000000"/>
          <w:sz w:val="32"/>
          <w:szCs w:val="28"/>
        </w:rPr>
        <w:t>山“边开采、边治理”要求全面落实，生产矿山应治尽治率达100%，矿山生态环境明显好转。</w:t>
      </w:r>
    </w:p>
    <w:p>
      <w:pPr>
        <w:ind w:firstLine="643"/>
        <w:rPr>
          <w:rStyle w:val="10"/>
          <w:rFonts w:ascii="仿宋_GB2312" w:eastAsia="仿宋_GB2312"/>
          <w:color w:val="000000"/>
          <w:sz w:val="32"/>
          <w:szCs w:val="32"/>
        </w:rPr>
      </w:pPr>
      <w:r>
        <w:rPr>
          <w:rStyle w:val="10"/>
          <w:rFonts w:ascii="仿宋_GB2312" w:eastAsia="仿宋_GB2312"/>
          <w:b/>
          <w:color w:val="000000"/>
          <w:sz w:val="32"/>
          <w:szCs w:val="32"/>
        </w:rPr>
        <w:t>矿产资源管理改革持续推进。</w:t>
      </w:r>
      <w:r>
        <w:rPr>
          <w:rStyle w:val="10"/>
          <w:rFonts w:ascii="仿宋_GB2312" w:eastAsia="仿宋_GB2312"/>
          <w:sz w:val="32"/>
          <w:szCs w:val="32"/>
        </w:rPr>
        <w:t>持续推进依法管矿和依法行政，进一步规范矿产资源勘查开采监督管理，强化事中事后监管。</w:t>
      </w:r>
      <w:r>
        <w:rPr>
          <w:rStyle w:val="10"/>
          <w:rFonts w:ascii="仿宋_GB2312" w:eastAsia="仿宋_GB2312"/>
          <w:color w:val="000000"/>
          <w:sz w:val="32"/>
          <w:szCs w:val="32"/>
        </w:rPr>
        <w:t>全面推进矿业权竞争性出让，积极探索建筑用砂石土“净矿”出让，</w:t>
      </w:r>
      <w:r>
        <w:rPr>
          <w:rStyle w:val="10"/>
          <w:rFonts w:ascii="仿宋_GB2312" w:eastAsia="仿宋_GB2312"/>
          <w:sz w:val="32"/>
          <w:szCs w:val="32"/>
        </w:rPr>
        <w:t>有序开展矿业权人勘查开采信息公示</w:t>
      </w:r>
      <w:r>
        <w:rPr>
          <w:rStyle w:val="10"/>
          <w:rFonts w:ascii="仿宋_GB2312" w:eastAsia="仿宋_GB2312"/>
          <w:color w:val="000000"/>
          <w:sz w:val="32"/>
          <w:szCs w:val="32"/>
        </w:rPr>
        <w:t>，</w:t>
      </w:r>
      <w:r>
        <w:rPr>
          <w:rStyle w:val="10"/>
          <w:rFonts w:ascii="仿宋_GB2312" w:eastAsia="仿宋_GB2312"/>
          <w:sz w:val="32"/>
          <w:szCs w:val="32"/>
        </w:rPr>
        <w:t>促进矿产资源开</w:t>
      </w:r>
      <w:r>
        <w:rPr>
          <w:rStyle w:val="10"/>
          <w:rFonts w:ascii="仿宋_GB2312" w:eastAsia="仿宋_GB2312"/>
          <w:color w:val="000000"/>
          <w:sz w:val="32"/>
          <w:szCs w:val="32"/>
        </w:rPr>
        <w:t>采局面持续向好。</w:t>
      </w:r>
    </w:p>
    <w:p>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专栏1  规划主要指标</w:t>
      </w:r>
    </w:p>
    <w:tbl>
      <w:tblPr>
        <w:tblStyle w:val="7"/>
        <w:tblpPr w:leftFromText="181" w:rightFromText="181" w:vertAnchor="text" w:horzAnchor="margin" w:tblpY="13"/>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70"/>
        <w:gridCol w:w="1344"/>
        <w:gridCol w:w="1410"/>
        <w:gridCol w:w="1693"/>
        <w:gridCol w:w="1558"/>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仿宋_GB2312" w:hAnsi="宋体" w:eastAsia="仿宋_GB2312"/>
                <w:b/>
                <w:sz w:val="24"/>
              </w:rPr>
            </w:pPr>
            <w:r>
              <w:rPr>
                <w:rStyle w:val="10"/>
                <w:rFonts w:ascii="仿宋_GB2312" w:hAnsi="宋体" w:eastAsia="仿宋_GB2312"/>
                <w:b/>
                <w:sz w:val="24"/>
              </w:rPr>
              <w:t>类别</w:t>
            </w:r>
          </w:p>
        </w:tc>
        <w:tc>
          <w:tcPr>
            <w:tcW w:w="275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仿宋_GB2312" w:hAnsi="宋体" w:eastAsia="仿宋_GB2312"/>
                <w:b/>
                <w:sz w:val="24"/>
              </w:rPr>
            </w:pPr>
            <w:r>
              <w:rPr>
                <w:rStyle w:val="10"/>
                <w:rFonts w:ascii="仿宋_GB2312" w:hAnsi="宋体" w:eastAsia="仿宋_GB2312"/>
                <w:b/>
                <w:sz w:val="24"/>
              </w:rPr>
              <w:t>指标名称</w:t>
            </w:r>
          </w:p>
        </w:tc>
        <w:tc>
          <w:tcPr>
            <w:tcW w:w="1693"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仿宋_GB2312" w:hAnsi="宋体" w:eastAsia="仿宋_GB2312"/>
                <w:b/>
                <w:sz w:val="24"/>
              </w:rPr>
            </w:pPr>
            <w:r>
              <w:rPr>
                <w:rStyle w:val="10"/>
                <w:rFonts w:ascii="仿宋_GB2312" w:hAnsi="宋体" w:eastAsia="仿宋_GB2312"/>
                <w:b/>
                <w:sz w:val="24"/>
              </w:rPr>
              <w:t>单位</w:t>
            </w:r>
          </w:p>
        </w:tc>
        <w:tc>
          <w:tcPr>
            <w:tcW w:w="155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仿宋_GB2312" w:hAnsi="宋体" w:eastAsia="仿宋_GB2312"/>
                <w:b/>
                <w:sz w:val="24"/>
              </w:rPr>
            </w:pPr>
            <w:r>
              <w:rPr>
                <w:rStyle w:val="10"/>
                <w:rFonts w:ascii="仿宋_GB2312" w:hAnsi="宋体" w:eastAsia="仿宋_GB2312"/>
                <w:b/>
                <w:sz w:val="24"/>
              </w:rPr>
              <w:t>2025年</w:t>
            </w:r>
          </w:p>
        </w:tc>
        <w:tc>
          <w:tcPr>
            <w:tcW w:w="114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仿宋_GB2312" w:hAnsi="宋体" w:eastAsia="仿宋_GB2312"/>
                <w:b/>
                <w:sz w:val="24"/>
              </w:rPr>
            </w:pPr>
            <w:r>
              <w:rPr>
                <w:rStyle w:val="10"/>
                <w:rFonts w:ascii="仿宋_GB2312" w:hAnsi="宋体" w:eastAsia="仿宋_GB2312"/>
                <w:b/>
                <w:sz w:val="24"/>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7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矿产资源开发利用与保护</w:t>
            </w: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pacing w:val="-8"/>
                <w:sz w:val="24"/>
              </w:rPr>
              <w:t>非油气类矿山总数</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宋体" w:hAnsi="宋体"/>
                <w:sz w:val="24"/>
              </w:rPr>
              <w:t>≦</w:t>
            </w:r>
            <w:r>
              <w:rPr>
                <w:rStyle w:val="10"/>
                <w:rFonts w:ascii="仿宋_GB2312" w:hAnsi="宋体" w:eastAsia="仿宋_GB2312"/>
                <w:sz w:val="24"/>
              </w:rPr>
              <w:t>16</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建筑用砂、石矿山数量</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 w:hAnsi="仿宋"/>
                <w:sz w:val="24"/>
              </w:rPr>
              <w:t>≦</w:t>
            </w:r>
            <w:r>
              <w:rPr>
                <w:rStyle w:val="10"/>
                <w:rFonts w:ascii="仿宋_GB2312" w:hAnsi="宋体" w:eastAsia="仿宋_GB2312"/>
                <w:sz w:val="24"/>
              </w:rPr>
              <w:t>4</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大中型矿山比例</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sz w:val="24"/>
              </w:rPr>
            </w:pPr>
            <w:r>
              <w:rPr>
                <w:rStyle w:val="10"/>
                <w:rFonts w:ascii="仿宋" w:hAnsi="仿宋"/>
                <w:sz w:val="24"/>
              </w:rPr>
              <w:t>≧</w:t>
            </w:r>
            <w:r>
              <w:rPr>
                <w:rStyle w:val="10"/>
                <w:rFonts w:ascii="仿宋_GB2312" w:hAnsi="宋体" w:eastAsia="仿宋_GB2312"/>
                <w:sz w:val="24"/>
              </w:rPr>
              <w:t>70</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1344"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年开采总量</w:t>
            </w:r>
          </w:p>
        </w:tc>
        <w:tc>
          <w:tcPr>
            <w:tcW w:w="1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煤炭</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万吨</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（7000）</w:t>
            </w:r>
          </w:p>
        </w:tc>
        <w:tc>
          <w:tcPr>
            <w:tcW w:w="1145"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建筑用砂</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矿石 万立方米</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（100）</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13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1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建筑用石料</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矿石 万立方米</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（150）</w:t>
            </w:r>
          </w:p>
        </w:tc>
        <w:tc>
          <w:tcPr>
            <w:tcW w:w="11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p>
        </w:tc>
        <w:tc>
          <w:tcPr>
            <w:tcW w:w="2754"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hint="eastAsia" w:ascii="仿宋_GB2312" w:hAnsi="宋体" w:eastAsia="仿宋_GB2312"/>
                <w:spacing w:val="-8"/>
                <w:sz w:val="24"/>
              </w:rPr>
              <w:t>矿产资源保护区</w:t>
            </w:r>
            <w:r>
              <w:rPr>
                <w:rStyle w:val="10"/>
                <w:rFonts w:ascii="仿宋_GB2312" w:hAnsi="宋体" w:eastAsia="仿宋_GB2312"/>
                <w:spacing w:val="-8"/>
                <w:sz w:val="24"/>
              </w:rPr>
              <w:t>数量</w:t>
            </w:r>
          </w:p>
        </w:tc>
        <w:tc>
          <w:tcPr>
            <w:tcW w:w="1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个</w:t>
            </w: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4</w:t>
            </w: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420" w:type="dxa"/>
            <w:gridSpan w:val="6"/>
            <w:tcBorders>
              <w:top w:val="single" w:color="000000" w:sz="4" w:space="0"/>
              <w:left w:val="single" w:color="000000" w:sz="4" w:space="0"/>
              <w:bottom w:val="single" w:color="000000" w:sz="4" w:space="0"/>
              <w:right w:val="single" w:color="000000" w:sz="4" w:space="0"/>
            </w:tcBorders>
            <w:vAlign w:val="center"/>
          </w:tcPr>
          <w:p>
            <w:pPr>
              <w:jc w:val="left"/>
              <w:rPr>
                <w:rStyle w:val="10"/>
                <w:rFonts w:ascii="仿宋_GB2312" w:hAnsi="宋体" w:eastAsia="仿宋_GB2312"/>
                <w:sz w:val="24"/>
              </w:rPr>
            </w:pPr>
            <w:r>
              <w:rPr>
                <w:rStyle w:val="10"/>
                <w:rFonts w:ascii="仿宋_GB2312" w:hAnsi="宋体" w:eastAsia="仿宋_GB2312"/>
                <w:sz w:val="24"/>
              </w:rPr>
              <w:t>注：（）中为每年计数。</w:t>
            </w:r>
          </w:p>
        </w:tc>
      </w:tr>
    </w:tbl>
    <w:p>
      <w:pPr>
        <w:keepLines/>
        <w:spacing w:before="313"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二、2035年展望</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矿产资源勘查开发与保护布局更加优化、结构更加合理，矿产资源实现规模化、集约化、绿色化利用，矿政管理制度更加完善，矿山生态环境根本好转，矿业绿色转型全面完成，矿产资源治理体系和治理能力现代化基本实现，矿业高质量发展新格局全面形成。</w:t>
      </w:r>
    </w:p>
    <w:p>
      <w:pPr>
        <w:spacing w:line="360" w:lineRule="auto"/>
        <w:ind w:firstLine="640" w:firstLineChars="200"/>
        <w:rPr>
          <w:rStyle w:val="10"/>
          <w:rFonts w:ascii="宋体" w:hAnsi="宋体" w:eastAsia="仿宋_GB2312"/>
          <w:sz w:val="32"/>
          <w:szCs w:val="28"/>
        </w:rPr>
      </w:pPr>
    </w:p>
    <w:p>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pPr>
        <w:pStyle w:val="13"/>
        <w:spacing w:before="312" w:beforeAutospacing="1" w:after="312" w:afterAutospacing="1" w:line="1000" w:lineRule="exact"/>
        <w:jc w:val="center"/>
        <w:outlineLvl w:val="0"/>
        <w:rPr>
          <w:rStyle w:val="10"/>
          <w:rFonts w:ascii="黑体" w:hAnsi="仿宋_GB2312" w:eastAsia="黑体"/>
          <w:sz w:val="32"/>
          <w:szCs w:val="32"/>
        </w:rPr>
      </w:pPr>
      <w:r>
        <w:rPr>
          <w:rStyle w:val="10"/>
          <w:rFonts w:ascii="黑体" w:hAnsi="仿宋_GB2312" w:eastAsia="黑体"/>
          <w:sz w:val="32"/>
          <w:szCs w:val="32"/>
        </w:rPr>
        <w:t>第三章  矿产资源勘查开发总体布局</w:t>
      </w:r>
    </w:p>
    <w:p>
      <w:pPr>
        <w:ind w:firstLine="640" w:firstLineChars="200"/>
        <w:rPr>
          <w:rStyle w:val="10"/>
          <w:rFonts w:eastAsia="仿宋_GB2312"/>
          <w:sz w:val="32"/>
          <w:szCs w:val="32"/>
        </w:rPr>
      </w:pPr>
      <w:r>
        <w:rPr>
          <w:rStyle w:val="10"/>
          <w:rFonts w:eastAsia="仿宋_GB2312"/>
          <w:sz w:val="32"/>
          <w:szCs w:val="32"/>
        </w:rPr>
        <w:t>严格落实国土空间和“三线一单”生态环境分区管控要求，严格执行产业准入负面清单。落实生态保护红线、永久基本农田线、城镇开发边界线等管控要求；落实自治区最严格的草原生态环境保护制度；落实国家、自治区其他不得开采矿产资源的区域。</w:t>
      </w:r>
    </w:p>
    <w:p>
      <w:pPr>
        <w:pStyle w:val="14"/>
        <w:spacing w:before="0"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矿产资源勘查开发调控方向</w:t>
      </w:r>
    </w:p>
    <w:p>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重点勘查</w:t>
      </w:r>
      <w:r>
        <w:rPr>
          <w:rStyle w:val="10"/>
          <w:rFonts w:ascii="宋体" w:hAnsi="宋体" w:eastAsia="仿宋_GB2312" w:cs="Calibri"/>
          <w:bCs/>
          <w:sz w:val="32"/>
          <w:szCs w:val="28"/>
        </w:rPr>
        <w:t>煤炭、金矿等国家、自治区紧缺矿产，地热、矿泉水等清洁资源。</w:t>
      </w:r>
    </w:p>
    <w:p>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重点开采</w:t>
      </w:r>
      <w:r>
        <w:rPr>
          <w:rStyle w:val="10"/>
          <w:rFonts w:ascii="宋体" w:hAnsi="宋体" w:eastAsia="仿宋_GB2312" w:cs="Calibri"/>
          <w:bCs/>
          <w:sz w:val="32"/>
          <w:szCs w:val="28"/>
        </w:rPr>
        <w:t>煤炭、锗矿等优势矿产。在符合准入条件和生态保护的前提下，最大限度释放煤炭产能，保障能源供应。</w:t>
      </w:r>
    </w:p>
    <w:p>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限制开采</w:t>
      </w:r>
      <w:r>
        <w:rPr>
          <w:rStyle w:val="10"/>
          <w:rFonts w:ascii="宋体" w:hAnsi="宋体" w:eastAsia="仿宋_GB2312" w:cs="Calibri"/>
          <w:bCs/>
          <w:sz w:val="32"/>
          <w:szCs w:val="28"/>
        </w:rPr>
        <w:t>对生态环境影响较大的硫铁矿，钨矿开采按照国家下达的开采总量控制指标生产。</w:t>
      </w:r>
    </w:p>
    <w:p>
      <w:pPr>
        <w:spacing w:line="360" w:lineRule="auto"/>
        <w:ind w:firstLine="643" w:firstLineChars="200"/>
        <w:rPr>
          <w:rStyle w:val="10"/>
          <w:rFonts w:ascii="宋体" w:hAnsi="宋体" w:eastAsia="仿宋_GB2312" w:cs="Calibri"/>
          <w:bCs/>
          <w:sz w:val="32"/>
          <w:szCs w:val="28"/>
        </w:rPr>
      </w:pPr>
      <w:r>
        <w:rPr>
          <w:rStyle w:val="10"/>
          <w:rFonts w:ascii="宋体" w:hAnsi="宋体" w:eastAsia="仿宋_GB2312"/>
          <w:b/>
          <w:sz w:val="32"/>
          <w:szCs w:val="28"/>
        </w:rPr>
        <w:t>禁止开采</w:t>
      </w:r>
      <w:r>
        <w:rPr>
          <w:rStyle w:val="10"/>
          <w:rFonts w:ascii="宋体" w:hAnsi="宋体" w:eastAsia="仿宋_GB2312" w:cs="Calibri"/>
          <w:bCs/>
          <w:sz w:val="32"/>
          <w:szCs w:val="28"/>
        </w:rPr>
        <w:t>砷和放射性等有毒有害物质超过规定标准的煤炭。</w:t>
      </w:r>
    </w:p>
    <w:p>
      <w:pPr>
        <w:pStyle w:val="14"/>
        <w:spacing w:before="312" w:beforeAutospacing="1" w:after="312" w:afterAutospacing="1" w:line="800" w:lineRule="exact"/>
        <w:jc w:val="center"/>
        <w:outlineLvl w:val="1"/>
        <w:rPr>
          <w:rStyle w:val="10"/>
          <w:rFonts w:ascii="宋体" w:hAnsi="宋体" w:eastAsia="仿宋_GB2312"/>
        </w:rPr>
      </w:pPr>
      <w:r>
        <w:rPr>
          <w:rStyle w:val="10"/>
          <w:rFonts w:ascii="宋体" w:hAnsi="宋体" w:eastAsia="仿宋_GB2312"/>
        </w:rPr>
        <w:t>第二节  落实能源资源安全保障</w:t>
      </w:r>
    </w:p>
    <w:p>
      <w:pPr>
        <w:keepLines/>
        <w:spacing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一、能源资源基地</w:t>
      </w:r>
    </w:p>
    <w:p>
      <w:pPr>
        <w:spacing w:line="360" w:lineRule="auto"/>
        <w:ind w:firstLine="540"/>
        <w:rPr>
          <w:rStyle w:val="10"/>
          <w:rFonts w:hint="eastAsia" w:ascii="宋体" w:hAnsi="宋体" w:eastAsia="仿宋_GB2312" w:cs="Calibri"/>
          <w:bCs/>
          <w:sz w:val="32"/>
          <w:szCs w:val="28"/>
          <w:lang w:eastAsia="zh-CN"/>
        </w:rPr>
      </w:pPr>
      <w:r>
        <w:rPr>
          <w:rStyle w:val="10"/>
          <w:rFonts w:eastAsia="仿宋_GB2312"/>
          <w:color w:val="000000"/>
          <w:sz w:val="32"/>
          <w:szCs w:val="32"/>
        </w:rPr>
        <w:t>能源资源基地是提升矿产资源勘查开发规模效应、集聚效应，保障国家矿产资源安全的重要核心区域。</w:t>
      </w:r>
      <w:r>
        <w:rPr>
          <w:rStyle w:val="10"/>
          <w:rFonts w:ascii="宋体" w:hAnsi="宋体" w:eastAsia="仿宋_GB2312" w:cs="Calibri"/>
          <w:bCs/>
          <w:sz w:val="32"/>
          <w:szCs w:val="28"/>
        </w:rPr>
        <w:t>本次落实上级规划划定的能源资源基地</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处</w:t>
      </w:r>
      <w:r>
        <w:rPr>
          <w:rStyle w:val="10"/>
          <w:rFonts w:hint="eastAsia" w:ascii="宋体" w:hAnsi="宋体" w:eastAsia="仿宋_GB2312" w:cs="Calibri"/>
          <w:bCs/>
          <w:sz w:val="32"/>
          <w:szCs w:val="28"/>
          <w:lang w:eastAsia="zh-CN"/>
        </w:rPr>
        <w:t>。</w:t>
      </w:r>
    </w:p>
    <w:p>
      <w:pPr>
        <w:spacing w:line="360" w:lineRule="auto"/>
        <w:ind w:firstLine="540"/>
        <w:rPr>
          <w:rStyle w:val="10"/>
          <w:rFonts w:ascii="宋体" w:hAnsi="宋体" w:eastAsia="仿宋_GB2312" w:cs="Calibri"/>
          <w:bCs/>
          <w:sz w:val="32"/>
          <w:szCs w:val="28"/>
        </w:rPr>
      </w:pPr>
    </w:p>
    <w:p>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积极做好能源资源基地内生产要素和资源配置，在生产力布局、基础设施建设、重大项目安排及相关产业政策方面给予重点支持和保障，确保煤炭稳定供给。大力推进煤炭清洁高效利用，鼓励条件适宜的生产煤矿，采用先进技术装备和现代管理理念，简化生产系统，降低生产能耗，全面改造提升技术水平、生产效率，尽快发展成为优质产能。</w:t>
      </w:r>
    </w:p>
    <w:p>
      <w:pPr>
        <w:keepLines/>
        <w:spacing w:before="36" w:after="3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二、国家规划矿区</w:t>
      </w:r>
    </w:p>
    <w:p>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国家规划矿区是能够为能源资源基地建设提供支撑保障的地区，本次落实上级规划划定的国家规划矿区</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处，面积</w:t>
      </w:r>
      <w:r>
        <w:rPr>
          <w:rStyle w:val="10"/>
          <w:rFonts w:hint="eastAsia" w:ascii="宋体" w:hAnsi="宋体" w:eastAsia="仿宋_GB2312" w:cs="Calibri"/>
          <w:bCs/>
          <w:sz w:val="32"/>
          <w:szCs w:val="28"/>
          <w:lang w:val="en-US" w:eastAsia="zh-CN"/>
        </w:rPr>
        <w:t xml:space="preserve">  </w:t>
      </w:r>
      <w:r>
        <w:rPr>
          <w:rStyle w:val="10"/>
          <w:rFonts w:ascii="宋体" w:hAnsi="宋体" w:eastAsia="仿宋_GB2312" w:cs="Calibri"/>
          <w:bCs/>
          <w:sz w:val="32"/>
          <w:szCs w:val="28"/>
        </w:rPr>
        <w:t>平方千米。</w:t>
      </w:r>
    </w:p>
    <w:p>
      <w:pPr>
        <w:spacing w:line="360" w:lineRule="auto"/>
        <w:ind w:firstLine="540"/>
        <w:rPr>
          <w:rStyle w:val="10"/>
          <w:rFonts w:ascii="宋体" w:hAnsi="宋体" w:eastAsia="仿宋_GB2312" w:cs="Calibri"/>
          <w:bCs/>
          <w:sz w:val="32"/>
          <w:szCs w:val="28"/>
        </w:rPr>
      </w:pPr>
      <w:r>
        <w:rPr>
          <w:rStyle w:val="10"/>
          <w:rFonts w:ascii="宋体" w:hAnsi="宋体" w:eastAsia="仿宋_GB2312" w:cs="Calibri"/>
          <w:bCs/>
          <w:sz w:val="32"/>
          <w:szCs w:val="28"/>
        </w:rPr>
        <w:t>推动国家规划矿区内矿产资源绿色勘查开发，积极做好生产要素和资源配置。充分利用矿区内大中型矿产地相对集中、资源丰富且找矿潜力大、产业基础较好和资源环境承载能力较强等条件，积极争取国家和自治区政策支持和资金投入，引导和支持矿山企业走集约化、规模化经营之路，打造新型现代化资源高效利用示范区。同时，拉动社会资金投入，推进大中型矿山外围及深部找矿，增加资源储量。</w:t>
      </w:r>
    </w:p>
    <w:p>
      <w:pPr>
        <w:keepLines/>
        <w:spacing w:before="156" w:after="156" w:line="640" w:lineRule="exact"/>
        <w:ind w:firstLine="640" w:firstLineChars="200"/>
        <w:outlineLvl w:val="2"/>
        <w:rPr>
          <w:rStyle w:val="10"/>
          <w:rFonts w:ascii="黑体" w:eastAsia="黑体" w:cs="Calibri"/>
          <w:bCs/>
          <w:kern w:val="0"/>
          <w:sz w:val="32"/>
          <w:szCs w:val="28"/>
        </w:rPr>
      </w:pPr>
      <w:r>
        <w:rPr>
          <w:rStyle w:val="10"/>
          <w:rFonts w:ascii="黑体" w:eastAsia="黑体" w:cs="Calibri"/>
          <w:bCs/>
          <w:kern w:val="0"/>
          <w:sz w:val="32"/>
          <w:szCs w:val="28"/>
        </w:rPr>
        <w:t>三、矿产资源保护区</w:t>
      </w:r>
    </w:p>
    <w:p>
      <w:pPr>
        <w:spacing w:line="360" w:lineRule="auto"/>
        <w:ind w:firstLine="540"/>
        <w:rPr>
          <w:rStyle w:val="10"/>
          <w:rFonts w:hAnsi="宋体" w:eastAsia="仿宋_GB2312" w:cs="Calibri"/>
          <w:bCs/>
          <w:sz w:val="32"/>
          <w:szCs w:val="28"/>
        </w:rPr>
      </w:pPr>
      <w:r>
        <w:rPr>
          <w:rStyle w:val="10"/>
          <w:rFonts w:eastAsia="仿宋_GB2312"/>
          <w:color w:val="000000"/>
          <w:sz w:val="32"/>
          <w:szCs w:val="32"/>
        </w:rPr>
        <w:t>矿产资源保护区是落实国家矿产资源储备要求，进行储备保护的区域，本次共落实上级规划划定的矿产资源保护区</w:t>
      </w:r>
      <w:r>
        <w:rPr>
          <w:rStyle w:val="10"/>
          <w:rFonts w:hint="eastAsia" w:hAnsi="宋体" w:eastAsia="仿宋_GB2312" w:cs="Calibri"/>
          <w:bCs/>
          <w:sz w:val="32"/>
          <w:szCs w:val="28"/>
          <w:lang w:val="en-US" w:eastAsia="zh-CN"/>
        </w:rPr>
        <w:t xml:space="preserve">  </w:t>
      </w:r>
      <w:r>
        <w:rPr>
          <w:rStyle w:val="10"/>
          <w:rFonts w:hAnsi="宋体" w:eastAsia="仿宋_GB2312" w:cs="Calibri"/>
          <w:bCs/>
          <w:sz w:val="32"/>
          <w:szCs w:val="28"/>
        </w:rPr>
        <w:t>处，总面积为</w:t>
      </w:r>
      <w:r>
        <w:rPr>
          <w:rStyle w:val="10"/>
          <w:rFonts w:hint="eastAsia" w:hAnsi="宋体" w:eastAsia="仿宋_GB2312" w:cs="Calibri"/>
          <w:bCs/>
          <w:sz w:val="32"/>
          <w:szCs w:val="28"/>
          <w:lang w:val="en-US" w:eastAsia="zh-CN"/>
        </w:rPr>
        <w:t xml:space="preserve">  </w:t>
      </w:r>
      <w:r>
        <w:rPr>
          <w:rStyle w:val="10"/>
          <w:rFonts w:hAnsi="宋体" w:eastAsia="仿宋_GB2312" w:cs="Calibri"/>
          <w:bCs/>
          <w:sz w:val="32"/>
          <w:szCs w:val="28"/>
        </w:rPr>
        <w:t>平方千米。</w:t>
      </w:r>
    </w:p>
    <w:p>
      <w:pPr>
        <w:spacing w:line="360" w:lineRule="auto"/>
        <w:ind w:firstLine="540"/>
        <w:rPr>
          <w:rStyle w:val="10"/>
          <w:rFonts w:hAnsi="宋体" w:eastAsia="仿宋_GB2312" w:cs="Calibri"/>
          <w:bCs/>
          <w:sz w:val="32"/>
          <w:szCs w:val="28"/>
        </w:rPr>
      </w:pPr>
    </w:p>
    <w:p>
      <w:pPr>
        <w:spacing w:line="360" w:lineRule="auto"/>
        <w:ind w:firstLine="540"/>
        <w:rPr>
          <w:rStyle w:val="10"/>
          <w:rFonts w:hAnsi="宋体" w:eastAsia="仿宋_GB2312" w:cs="Calibri"/>
          <w:bCs/>
          <w:sz w:val="32"/>
          <w:szCs w:val="28"/>
        </w:rPr>
      </w:pPr>
      <w:r>
        <w:rPr>
          <w:rStyle w:val="10"/>
          <w:rFonts w:hAnsi="宋体" w:eastAsia="仿宋_GB2312" w:cs="Calibri"/>
          <w:bCs/>
          <w:sz w:val="32"/>
          <w:szCs w:val="28"/>
        </w:rPr>
        <w:t>严格储备矿产地的保护和监管，防止资源被压覆或破坏。建立储备矿产地的动态调整机制，根据经济社会发展及外部条件变化</w:t>
      </w:r>
      <w:r>
        <w:rPr>
          <w:rStyle w:val="10"/>
          <w:rFonts w:eastAsia="仿宋_GB2312"/>
          <w:color w:val="000000"/>
          <w:sz w:val="32"/>
          <w:szCs w:val="32"/>
        </w:rPr>
        <w:t>进行动态调整</w:t>
      </w:r>
      <w:r>
        <w:rPr>
          <w:rStyle w:val="10"/>
          <w:rFonts w:hAnsi="宋体" w:eastAsia="仿宋_GB2312" w:cs="Calibri"/>
          <w:bCs/>
          <w:sz w:val="32"/>
          <w:szCs w:val="28"/>
        </w:rPr>
        <w:t>。储备的矿产地经严格论证和有关部门批准后，由国家或自治区进行统一规划、科学合理开发。</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建筑用砂石土集中开采区</w:t>
      </w:r>
    </w:p>
    <w:p>
      <w:pPr>
        <w:spacing w:line="360" w:lineRule="auto"/>
        <w:ind w:firstLine="640" w:firstLineChars="200"/>
        <w:rPr>
          <w:rStyle w:val="10"/>
          <w:rFonts w:ascii="仿宋_GB2312" w:hAnsi="宋体" w:eastAsia="仿宋_GB2312"/>
          <w:b/>
          <w:sz w:val="28"/>
          <w:szCs w:val="28"/>
        </w:rPr>
      </w:pPr>
      <w:r>
        <w:rPr>
          <w:rStyle w:val="10"/>
          <w:rFonts w:ascii="宋体" w:hAnsi="宋体" w:eastAsia="仿宋_GB2312" w:cs="Calibri"/>
          <w:bCs/>
          <w:kern w:val="0"/>
          <w:sz w:val="32"/>
          <w:szCs w:val="28"/>
        </w:rPr>
        <w:t>集中开采区是为引导普通建筑用砂石土矿实现集中开采、规模开发的区域，本次落实上级规划划定的普通建筑用砂石矿集中开采区3处，</w:t>
      </w:r>
      <w:r>
        <w:rPr>
          <w:rStyle w:val="10"/>
          <w:rFonts w:ascii="仿宋_GB2312" w:eastAsia="仿宋_GB2312"/>
          <w:sz w:val="32"/>
          <w:szCs w:val="28"/>
        </w:rPr>
        <w:t>总面积</w:t>
      </w:r>
      <w:r>
        <w:rPr>
          <w:rStyle w:val="10"/>
          <w:rFonts w:ascii="宋体" w:hAnsi="宋体" w:eastAsia="仿宋_GB2312" w:cs="Calibri"/>
          <w:bCs/>
          <w:kern w:val="0"/>
          <w:sz w:val="32"/>
          <w:szCs w:val="28"/>
        </w:rPr>
        <w:t>8.15</w:t>
      </w:r>
      <w:r>
        <w:rPr>
          <w:rStyle w:val="10"/>
          <w:rFonts w:ascii="仿宋_GB2312" w:eastAsia="仿宋_GB2312"/>
          <w:sz w:val="32"/>
          <w:szCs w:val="28"/>
        </w:rPr>
        <w:t>平方千米</w:t>
      </w:r>
      <w:r>
        <w:rPr>
          <w:rStyle w:val="10"/>
          <w:rFonts w:ascii="宋体" w:hAnsi="宋体" w:eastAsia="仿宋_GB2312" w:cs="Calibri"/>
          <w:bCs/>
          <w:kern w:val="0"/>
          <w:sz w:val="32"/>
          <w:szCs w:val="28"/>
        </w:rPr>
        <w:t>。</w:t>
      </w:r>
    </w:p>
    <w:p>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专栏5  集中开采区</w:t>
      </w:r>
    </w:p>
    <w:tbl>
      <w:tblPr>
        <w:tblStyle w:val="7"/>
        <w:tblW w:w="82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0"/>
        <w:gridCol w:w="4651"/>
        <w:gridCol w:w="133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8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0"/>
                <w:rFonts w:ascii="仿宋_GB2312" w:hAnsi="宋体" w:eastAsia="仿宋_GB2312" w:cs="宋体"/>
                <w:b/>
                <w:bCs/>
                <w:kern w:val="0"/>
                <w:sz w:val="24"/>
              </w:rPr>
            </w:pPr>
            <w:r>
              <w:rPr>
                <w:rStyle w:val="10"/>
                <w:rFonts w:ascii="仿宋_GB2312" w:hAnsi="宋体" w:eastAsia="仿宋_GB2312" w:cs="宋体"/>
                <w:b/>
                <w:bCs/>
                <w:kern w:val="0"/>
                <w:sz w:val="24"/>
              </w:rPr>
              <w:t>序号</w:t>
            </w:r>
          </w:p>
        </w:tc>
        <w:tc>
          <w:tcPr>
            <w:tcW w:w="465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0"/>
                <w:rFonts w:ascii="仿宋_GB2312" w:hAnsi="宋体" w:eastAsia="仿宋_GB2312" w:cs="宋体"/>
                <w:b/>
                <w:bCs/>
                <w:kern w:val="0"/>
                <w:sz w:val="24"/>
              </w:rPr>
            </w:pPr>
            <w:r>
              <w:rPr>
                <w:rStyle w:val="10"/>
                <w:rFonts w:ascii="仿宋_GB2312" w:hAnsi="宋体" w:eastAsia="仿宋_GB2312" w:cs="宋体"/>
                <w:b/>
                <w:bCs/>
                <w:kern w:val="0"/>
                <w:sz w:val="24"/>
              </w:rPr>
              <w:t>名    称</w:t>
            </w:r>
          </w:p>
        </w:tc>
        <w:tc>
          <w:tcPr>
            <w:tcW w:w="133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0"/>
                <w:rFonts w:ascii="仿宋_GB2312" w:hAnsi="宋体" w:eastAsia="仿宋_GB2312"/>
                <w:b/>
                <w:kern w:val="0"/>
                <w:sz w:val="24"/>
              </w:rPr>
            </w:pPr>
            <w:r>
              <w:rPr>
                <w:rStyle w:val="10"/>
                <w:rFonts w:ascii="仿宋_GB2312" w:hAnsi="宋体" w:eastAsia="仿宋_GB2312"/>
                <w:b/>
                <w:kern w:val="0"/>
                <w:sz w:val="24"/>
              </w:rPr>
              <w:t>面积</w:t>
            </w:r>
          </w:p>
          <w:p>
            <w:pPr>
              <w:snapToGrid w:val="0"/>
              <w:jc w:val="center"/>
              <w:rPr>
                <w:rStyle w:val="10"/>
                <w:rFonts w:ascii="仿宋_GB2312" w:hAnsi="宋体" w:eastAsia="仿宋_GB2312"/>
                <w:b/>
                <w:kern w:val="0"/>
                <w:sz w:val="24"/>
              </w:rPr>
            </w:pPr>
            <w:r>
              <w:rPr>
                <w:rStyle w:val="10"/>
                <w:rFonts w:ascii="仿宋_GB2312" w:hAnsi="宋体" w:eastAsia="仿宋_GB2312"/>
                <w:b/>
                <w:kern w:val="0"/>
                <w:sz w:val="24"/>
              </w:rPr>
              <w:t>(平方千米)</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napToGrid w:val="0"/>
              <w:jc w:val="center"/>
              <w:rPr>
                <w:rStyle w:val="10"/>
                <w:rFonts w:ascii="仿宋_GB2312" w:hAnsi="宋体" w:eastAsia="仿宋_GB2312"/>
                <w:b/>
                <w:kern w:val="0"/>
                <w:sz w:val="24"/>
              </w:rPr>
            </w:pPr>
            <w:r>
              <w:rPr>
                <w:rStyle w:val="10"/>
                <w:rFonts w:ascii="仿宋_GB2312" w:hAnsi="宋体" w:eastAsia="仿宋_GB2312"/>
                <w:b/>
                <w:kern w:val="0"/>
                <w:sz w:val="24"/>
              </w:rPr>
              <w:t>已有采矿权</w:t>
            </w:r>
          </w:p>
          <w:p>
            <w:pPr>
              <w:snapToGrid w:val="0"/>
              <w:jc w:val="center"/>
              <w:rPr>
                <w:rStyle w:val="10"/>
                <w:rFonts w:ascii="仿宋_GB2312" w:hAnsi="宋体" w:eastAsia="仿宋_GB2312"/>
                <w:b/>
                <w:kern w:val="0"/>
                <w:sz w:val="24"/>
              </w:rPr>
            </w:pPr>
            <w:r>
              <w:rPr>
                <w:rStyle w:val="10"/>
                <w:rFonts w:ascii="仿宋_GB2312" w:hAnsi="宋体" w:eastAsia="仿宋_GB2312"/>
                <w:b/>
                <w:kern w:val="0"/>
                <w:sz w:val="24"/>
              </w:rPr>
              <w:t>数量（个）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0"/>
                <w:rFonts w:ascii="仿宋_GB2312" w:hAnsi="宋体" w:eastAsia="仿宋_GB2312"/>
                <w:kern w:val="0"/>
                <w:sz w:val="24"/>
              </w:rPr>
            </w:pPr>
            <w:r>
              <w:rPr>
                <w:rStyle w:val="10"/>
                <w:rFonts w:ascii="仿宋_GB2312" w:hAnsi="宋体" w:eastAsia="仿宋_GB2312"/>
                <w:kern w:val="0"/>
                <w:sz w:val="24"/>
              </w:rPr>
              <w:t>1</w:t>
            </w:r>
          </w:p>
        </w:tc>
        <w:tc>
          <w:tcPr>
            <w:tcW w:w="4651" w:type="dxa"/>
            <w:tcBorders>
              <w:top w:val="single" w:color="000000" w:sz="4" w:space="0"/>
              <w:left w:val="single" w:color="000000" w:sz="4" w:space="0"/>
              <w:bottom w:val="single" w:color="000000" w:sz="4" w:space="0"/>
              <w:right w:val="single" w:color="000000" w:sz="4" w:space="0"/>
            </w:tcBorders>
            <w:vAlign w:val="center"/>
          </w:tcPr>
          <w:p>
            <w:pPr>
              <w:snapToGrid w:val="0"/>
              <w:rPr>
                <w:rStyle w:val="10"/>
                <w:rFonts w:ascii="仿宋_GB2312" w:hAnsi="宋体" w:eastAsia="仿宋_GB2312"/>
                <w:sz w:val="24"/>
              </w:rPr>
            </w:pPr>
            <w:r>
              <w:rPr>
                <w:rStyle w:val="10"/>
                <w:rFonts w:ascii="仿宋_GB2312" w:hAnsi="宋体" w:eastAsia="仿宋_GB2312"/>
                <w:sz w:val="24"/>
              </w:rPr>
              <w:t>宝力根苏木建筑用砂石矿集中开采区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1.96</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0"/>
                <w:rFonts w:ascii="仿宋_GB2312" w:hAnsi="宋体" w:eastAsia="仿宋_GB2312"/>
                <w:sz w:val="24"/>
              </w:rPr>
            </w:pPr>
            <w:r>
              <w:rPr>
                <w:rStyle w:val="10"/>
                <w:rFonts w:ascii="仿宋_GB2312" w:hAnsi="宋体" w:eastAsia="仿宋_GB2312"/>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0"/>
                <w:rFonts w:ascii="仿宋_GB2312" w:hAnsi="宋体" w:eastAsia="仿宋_GB2312"/>
                <w:kern w:val="0"/>
                <w:sz w:val="24"/>
              </w:rPr>
            </w:pPr>
            <w:r>
              <w:rPr>
                <w:rStyle w:val="10"/>
                <w:rFonts w:ascii="仿宋_GB2312" w:hAnsi="宋体" w:eastAsia="仿宋_GB2312"/>
                <w:kern w:val="0"/>
                <w:sz w:val="24"/>
              </w:rPr>
              <w:t>2</w:t>
            </w:r>
          </w:p>
        </w:tc>
        <w:tc>
          <w:tcPr>
            <w:tcW w:w="4651" w:type="dxa"/>
            <w:tcBorders>
              <w:top w:val="single" w:color="000000" w:sz="4" w:space="0"/>
              <w:left w:val="single" w:color="000000" w:sz="4" w:space="0"/>
              <w:bottom w:val="single" w:color="000000" w:sz="4" w:space="0"/>
              <w:right w:val="single" w:color="000000" w:sz="4" w:space="0"/>
            </w:tcBorders>
            <w:vAlign w:val="center"/>
          </w:tcPr>
          <w:p>
            <w:pPr>
              <w:snapToGrid w:val="0"/>
              <w:rPr>
                <w:rStyle w:val="10"/>
                <w:rFonts w:ascii="仿宋_GB2312" w:hAnsi="宋体" w:eastAsia="仿宋_GB2312"/>
                <w:sz w:val="24"/>
              </w:rPr>
            </w:pPr>
            <w:r>
              <w:rPr>
                <w:rStyle w:val="10"/>
                <w:rFonts w:ascii="仿宋_GB2312" w:hAnsi="宋体" w:eastAsia="仿宋_GB2312"/>
                <w:sz w:val="24"/>
              </w:rPr>
              <w:t>巴彦宝力格苏木建筑用砂石矿集中开采区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2.19</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0"/>
                <w:rFonts w:ascii="仿宋_GB2312" w:hAnsi="宋体" w:eastAsia="仿宋_GB2312"/>
                <w:sz w:val="24"/>
              </w:rPr>
            </w:pPr>
            <w:r>
              <w:rPr>
                <w:rStyle w:val="10"/>
                <w:rFonts w:ascii="仿宋_GB2312" w:hAnsi="宋体" w:eastAsia="仿宋_GB2312"/>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0"/>
                <w:rFonts w:ascii="仿宋_GB2312" w:hAnsi="宋体" w:eastAsia="仿宋_GB2312"/>
                <w:kern w:val="0"/>
                <w:sz w:val="24"/>
              </w:rPr>
            </w:pPr>
            <w:r>
              <w:rPr>
                <w:rStyle w:val="10"/>
                <w:rFonts w:ascii="仿宋_GB2312" w:hAnsi="宋体" w:eastAsia="仿宋_GB2312"/>
                <w:kern w:val="0"/>
                <w:sz w:val="24"/>
              </w:rPr>
              <w:t>3</w:t>
            </w:r>
          </w:p>
        </w:tc>
        <w:tc>
          <w:tcPr>
            <w:tcW w:w="4651" w:type="dxa"/>
            <w:tcBorders>
              <w:top w:val="single" w:color="000000" w:sz="4" w:space="0"/>
              <w:left w:val="single" w:color="000000" w:sz="4" w:space="0"/>
              <w:bottom w:val="single" w:color="000000" w:sz="4" w:space="0"/>
              <w:right w:val="single" w:color="000000" w:sz="4" w:space="0"/>
            </w:tcBorders>
            <w:vAlign w:val="center"/>
          </w:tcPr>
          <w:p>
            <w:pPr>
              <w:snapToGrid w:val="0"/>
              <w:rPr>
                <w:rStyle w:val="10"/>
                <w:rFonts w:ascii="仿宋_GB2312" w:hAnsi="宋体" w:eastAsia="仿宋_GB2312"/>
                <w:sz w:val="24"/>
              </w:rPr>
            </w:pPr>
            <w:r>
              <w:rPr>
                <w:rStyle w:val="10"/>
                <w:rFonts w:ascii="仿宋_GB2312" w:eastAsia="仿宋_GB2312"/>
                <w:sz w:val="24"/>
              </w:rPr>
              <w:t>巴彦高勒嘎查建筑用砂石矿集中开采区</w:t>
            </w:r>
          </w:p>
        </w:tc>
        <w:tc>
          <w:tcPr>
            <w:tcW w:w="133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hAnsi="宋体" w:eastAsia="仿宋_GB2312"/>
                <w:sz w:val="24"/>
              </w:rPr>
            </w:pPr>
            <w:r>
              <w:rPr>
                <w:rStyle w:val="10"/>
                <w:rFonts w:ascii="仿宋_GB2312" w:hAnsi="宋体" w:eastAsia="仿宋_GB2312"/>
                <w:sz w:val="24"/>
              </w:rPr>
              <w:t>4.00</w:t>
            </w:r>
          </w:p>
        </w:tc>
        <w:tc>
          <w:tcPr>
            <w:tcW w:w="141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10"/>
                <w:rFonts w:ascii="仿宋_GB2312" w:hAnsi="宋体" w:eastAsia="仿宋_GB2312"/>
                <w:sz w:val="24"/>
              </w:rPr>
            </w:pPr>
            <w:r>
              <w:rPr>
                <w:rStyle w:val="10"/>
                <w:rFonts w:ascii="仿宋_GB2312" w:hAnsi="宋体" w:eastAsia="仿宋_GB2312"/>
                <w:sz w:val="24"/>
              </w:rPr>
              <w:t>0</w:t>
            </w:r>
          </w:p>
        </w:tc>
      </w:tr>
    </w:tbl>
    <w:p>
      <w:pPr>
        <w:spacing w:line="360" w:lineRule="auto"/>
        <w:rPr>
          <w:rStyle w:val="10"/>
          <w:rFonts w:ascii="宋体" w:hAnsi="宋体" w:eastAsia="仿宋_GB2312" w:cs="Calibri"/>
          <w:bCs/>
          <w:kern w:val="0"/>
          <w:sz w:val="32"/>
          <w:szCs w:val="28"/>
        </w:rPr>
      </w:pPr>
    </w:p>
    <w:p>
      <w:pPr>
        <w:pStyle w:val="48"/>
        <w:snapToGrid w:val="0"/>
        <w:spacing w:line="360" w:lineRule="auto"/>
        <w:ind w:firstLine="640" w:firstLineChars="200"/>
        <w:rPr>
          <w:rStyle w:val="10"/>
          <w:rFonts w:eastAsia="仿宋_GB2312"/>
          <w:color w:val="000000"/>
          <w:sz w:val="32"/>
          <w:szCs w:val="32"/>
        </w:rPr>
      </w:pPr>
      <w:r>
        <w:rPr>
          <w:rStyle w:val="10"/>
          <w:rFonts w:hAnsi="宋体" w:eastAsia="仿宋_GB2312" w:cs="宋体"/>
          <w:bCs/>
          <w:sz w:val="32"/>
          <w:szCs w:val="28"/>
        </w:rPr>
        <w:t>原则上新设建筑用砂石土矿采矿权须位于集中开采区内，</w:t>
      </w:r>
      <w:r>
        <w:rPr>
          <w:rStyle w:val="10"/>
          <w:rFonts w:ascii="Times New Roman" w:eastAsia="仿宋_GB2312"/>
          <w:color w:val="000000"/>
          <w:sz w:val="32"/>
          <w:szCs w:val="32"/>
        </w:rPr>
        <w:t>采矿权的设立必须符合开采准入条件，出让采矿权时明确具体开采范围与储量，可以整体开发的不得分割，严禁大矿小开，开采尽量不留边坡，将资源开发利用和矿山地质环境保护进行有机统一。</w:t>
      </w:r>
      <w:r>
        <w:rPr>
          <w:rStyle w:val="10"/>
          <w:rFonts w:eastAsia="仿宋_GB2312"/>
          <w:color w:val="000000"/>
          <w:sz w:val="32"/>
          <w:szCs w:val="32"/>
        </w:rPr>
        <w:t>加强对采区的事中事后监管，严格落实属地主体责任。按照绿色矿山建设标准，积极开展绿色矿山建设。</w:t>
      </w:r>
    </w:p>
    <w:p>
      <w:pPr>
        <w:spacing w:line="360" w:lineRule="auto"/>
        <w:ind w:firstLine="540"/>
        <w:rPr>
          <w:rStyle w:val="10"/>
          <w:rFonts w:hAnsi="宋体" w:eastAsia="仿宋_GB2312" w:cs="Calibri"/>
          <w:bCs/>
          <w:sz w:val="32"/>
          <w:szCs w:val="28"/>
        </w:rPr>
      </w:pPr>
    </w:p>
    <w:p>
      <w:pPr>
        <w:spacing w:line="360" w:lineRule="auto"/>
        <w:ind w:firstLine="540"/>
        <w:rPr>
          <w:rStyle w:val="10"/>
          <w:rFonts w:ascii="宋体" w:hAnsi="宋体" w:eastAsia="仿宋_GB2312"/>
          <w:sz w:val="32"/>
          <w:szCs w:val="28"/>
        </w:rPr>
        <w:sectPr>
          <w:pgSz w:w="11906" w:h="16838"/>
          <w:pgMar w:top="1440" w:right="1800" w:bottom="1440" w:left="1800" w:header="851" w:footer="992" w:gutter="0"/>
          <w:cols w:space="425" w:num="1"/>
          <w:docGrid w:type="lines" w:linePitch="312" w:charSpace="0"/>
        </w:sectPr>
      </w:pPr>
    </w:p>
    <w:p>
      <w:pPr>
        <w:spacing w:before="312" w:beforeAutospacing="1" w:after="312" w:afterAutospacing="1" w:line="1280" w:lineRule="exact"/>
        <w:ind w:firstLine="540"/>
        <w:jc w:val="center"/>
        <w:outlineLvl w:val="0"/>
        <w:rPr>
          <w:rStyle w:val="10"/>
          <w:rFonts w:ascii="黑体" w:hAnsi="仿宋_GB2312" w:eastAsia="黑体"/>
          <w:sz w:val="32"/>
          <w:szCs w:val="32"/>
        </w:rPr>
      </w:pPr>
      <w:r>
        <w:rPr>
          <w:rStyle w:val="10"/>
          <w:rFonts w:ascii="黑体" w:hAnsi="仿宋_GB2312" w:eastAsia="黑体"/>
          <w:sz w:val="32"/>
          <w:szCs w:val="32"/>
        </w:rPr>
        <w:t>第四章  矿业结构调整与转型升级</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合理调控开采总量</w:t>
      </w:r>
    </w:p>
    <w:p>
      <w:pPr>
        <w:tabs>
          <w:tab w:val="left" w:pos="720"/>
        </w:tabs>
        <w:snapToGrid w:val="0"/>
        <w:spacing w:line="360" w:lineRule="auto"/>
        <w:ind w:firstLine="640" w:firstLineChars="200"/>
        <w:rPr>
          <w:rStyle w:val="10"/>
          <w:rFonts w:ascii="仿宋_GB2312" w:eastAsia="仿宋_GB2312" w:cs="Calibri"/>
          <w:bCs/>
          <w:color w:val="000000"/>
          <w:kern w:val="0"/>
          <w:sz w:val="32"/>
          <w:szCs w:val="32"/>
          <w:highlight w:val="yellow"/>
        </w:rPr>
      </w:pPr>
      <w:r>
        <w:rPr>
          <w:rStyle w:val="10"/>
          <w:rFonts w:ascii="仿宋_GB2312" w:eastAsia="仿宋_GB2312" w:cs="Calibri"/>
          <w:bCs/>
          <w:color w:val="000000"/>
          <w:kern w:val="0"/>
          <w:sz w:val="32"/>
          <w:szCs w:val="32"/>
        </w:rPr>
        <w:t>结合矿产资源储量、空间分布情况、矿产品市场供需形势及经济社会发展需求，实行矿产资源开采总量和采矿权投放总量双调控，力求矿产资源开发利用总量与经济社会发展水平相适应。严格控制新建矿山数量，到2025年底前，全市在期非油气类矿山总数控制在16家以内，其中建筑用砂石矿山数量控制在4家以内。在保障特高压输变电等煤-电重大工程的供给前提下，煤炭年开采总量控制在7000万吨；在保障锡林浩特市-正蓝旗-张家口快速客运专线、锡二高速、机场升级改造、市政供排水等基础设施建设基础上，建筑用砂和石年开采总量分别控制在100万立方米/年和150万立方米/年。</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第二节  开发利用结构调整</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一、提高新建矿山最低开采规模</w:t>
      </w:r>
    </w:p>
    <w:p>
      <w:pPr>
        <w:spacing w:line="360" w:lineRule="auto"/>
        <w:ind w:firstLine="614" w:firstLineChars="192"/>
        <w:rPr>
          <w:rStyle w:val="10"/>
          <w:rFonts w:ascii="宋体" w:hAnsi="宋体" w:eastAsia="仿宋_GB2312" w:cs="Calibri"/>
          <w:bCs/>
          <w:sz w:val="32"/>
          <w:szCs w:val="28"/>
        </w:rPr>
      </w:pPr>
      <w:r>
        <w:rPr>
          <w:rStyle w:val="10"/>
          <w:rFonts w:ascii="宋体" w:hAnsi="宋体" w:eastAsia="仿宋_GB2312" w:cs="Calibri"/>
          <w:bCs/>
          <w:sz w:val="32"/>
          <w:szCs w:val="28"/>
        </w:rPr>
        <w:t>矿山建设规模要与矿床储量规模相适应，将最低开采规模制度，作为审批采矿权和监督管理的依据之一，防止大矿小开、一矿多开。新建普通建筑用砂石土矿山规模必须达中型及以上，其他矿种严格执行上级规划确定的新建矿山最低开采规模要求。</w:t>
      </w:r>
    </w:p>
    <w:p>
      <w:pPr>
        <w:spacing w:line="360" w:lineRule="auto"/>
        <w:ind w:firstLine="562" w:firstLineChars="200"/>
        <w:jc w:val="center"/>
        <w:outlineLvl w:val="3"/>
        <w:rPr>
          <w:rStyle w:val="10"/>
          <w:rFonts w:ascii="仿宋_GB2312" w:hAnsi="宋体" w:eastAsia="仿宋_GB2312"/>
          <w:b/>
          <w:sz w:val="28"/>
          <w:szCs w:val="28"/>
        </w:rPr>
      </w:pPr>
      <w:r>
        <w:rPr>
          <w:rStyle w:val="10"/>
          <w:rFonts w:ascii="仿宋_GB2312" w:hAnsi="宋体" w:eastAsia="仿宋_GB2312"/>
          <w:b/>
          <w:sz w:val="28"/>
          <w:szCs w:val="28"/>
        </w:rPr>
        <w:t>专栏6  新建矿山最低开采规模</w:t>
      </w:r>
    </w:p>
    <w:tbl>
      <w:tblPr>
        <w:tblStyle w:val="7"/>
        <w:tblW w:w="84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3"/>
        <w:gridCol w:w="2553"/>
        <w:gridCol w:w="2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blHeader/>
          <w:jc w:val="center"/>
        </w:trPr>
        <w:tc>
          <w:tcPr>
            <w:tcW w:w="3623"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宋体" w:hAnsi="宋体"/>
                <w:b/>
                <w:sz w:val="24"/>
              </w:rPr>
            </w:pPr>
            <w:r>
              <w:rPr>
                <w:rStyle w:val="10"/>
                <w:rFonts w:ascii="宋体" w:hAnsi="宋体" w:eastAsia="仿宋_GB2312"/>
                <w:b/>
                <w:sz w:val="24"/>
              </w:rPr>
              <w:t>矿种</w:t>
            </w:r>
          </w:p>
        </w:tc>
        <w:tc>
          <w:tcPr>
            <w:tcW w:w="2553"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宋体" w:hAnsi="宋体"/>
                <w:b/>
                <w:sz w:val="24"/>
              </w:rPr>
            </w:pPr>
            <w:r>
              <w:rPr>
                <w:rStyle w:val="10"/>
                <w:rFonts w:ascii="宋体" w:hAnsi="宋体" w:eastAsia="仿宋_GB2312"/>
                <w:b/>
                <w:sz w:val="24"/>
              </w:rPr>
              <w:t>单位</w:t>
            </w:r>
          </w:p>
        </w:tc>
        <w:tc>
          <w:tcPr>
            <w:tcW w:w="22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ascii="宋体" w:hAnsi="宋体"/>
                <w:b/>
                <w:sz w:val="24"/>
              </w:rPr>
            </w:pPr>
            <w:r>
              <w:rPr>
                <w:rStyle w:val="10"/>
                <w:rFonts w:ascii="宋体" w:hAnsi="宋体" w:eastAsia="仿宋_GB2312"/>
                <w:b/>
                <w:sz w:val="24"/>
              </w:rPr>
              <w:t>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sz w:val="24"/>
              </w:rPr>
            </w:pPr>
            <w:r>
              <w:rPr>
                <w:rStyle w:val="10"/>
                <w:rFonts w:ascii="宋体" w:hAnsi="宋体" w:eastAsia="仿宋_GB2312"/>
                <w:sz w:val="24"/>
              </w:rPr>
              <w:t>煤（地下开采）</w:t>
            </w: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sz w:val="24"/>
              </w:rPr>
            </w:pPr>
            <w:r>
              <w:rPr>
                <w:rStyle w:val="10"/>
                <w:rFonts w:ascii="宋体" w:hAnsi="宋体" w:eastAsia="仿宋_GB2312"/>
                <w:sz w:val="24"/>
              </w:rPr>
              <w:t>原煤万吨/年</w:t>
            </w: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sz w:val="24"/>
              </w:rPr>
            </w:pPr>
            <w:r>
              <w:rPr>
                <w:rStyle w:val="10"/>
                <w:rFonts w:ascii="宋体" w:hAnsi="宋体" w:eastAsia="仿宋_GB2312"/>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sz w:val="24"/>
              </w:rPr>
            </w:pPr>
            <w:r>
              <w:rPr>
                <w:rStyle w:val="10"/>
                <w:rFonts w:ascii="宋体" w:hAnsi="宋体" w:eastAsia="仿宋_GB2312"/>
                <w:sz w:val="24"/>
              </w:rPr>
              <w:t>岩金</w:t>
            </w: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sz w:val="24"/>
              </w:rPr>
            </w:pPr>
            <w:r>
              <w:rPr>
                <w:rStyle w:val="10"/>
                <w:rFonts w:ascii="宋体" w:hAnsi="宋体" w:eastAsia="仿宋_GB2312"/>
                <w:sz w:val="24"/>
              </w:rPr>
              <w:t>矿石 万吨/年</w:t>
            </w: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sz w:val="24"/>
              </w:rPr>
            </w:pPr>
            <w:r>
              <w:rPr>
                <w:rStyle w:val="10"/>
                <w:rFonts w:ascii="宋体" w:hAnsi="宋体" w:eastAsia="仿宋_GB2312"/>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eastAsia="仿宋_GB2312"/>
                <w:sz w:val="24"/>
              </w:rPr>
            </w:pPr>
            <w:r>
              <w:rPr>
                <w:rStyle w:val="10"/>
                <w:rFonts w:ascii="宋体" w:hAnsi="宋体" w:eastAsia="仿宋_GB2312"/>
                <w:sz w:val="24"/>
              </w:rPr>
              <w:t>建筑用砂</w:t>
            </w: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eastAsia="仿宋_GB2312"/>
                <w:sz w:val="24"/>
              </w:rPr>
            </w:pPr>
            <w:r>
              <w:rPr>
                <w:rStyle w:val="10"/>
                <w:rFonts w:ascii="宋体" w:hAnsi="宋体" w:eastAsia="仿宋_GB2312"/>
                <w:sz w:val="24"/>
              </w:rPr>
              <w:t>万立方米/年</w:t>
            </w: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eastAsia="仿宋_GB2312"/>
                <w:sz w:val="24"/>
              </w:rPr>
            </w:pPr>
            <w:r>
              <w:rPr>
                <w:rStyle w:val="10"/>
                <w:rFonts w:ascii="宋体" w:hAnsi="宋体" w:eastAsia="仿宋_GB2312"/>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362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eastAsia="仿宋_GB2312"/>
                <w:sz w:val="24"/>
              </w:rPr>
            </w:pPr>
            <w:r>
              <w:rPr>
                <w:rStyle w:val="10"/>
                <w:rFonts w:ascii="宋体" w:hAnsi="宋体" w:eastAsia="仿宋_GB2312"/>
                <w:sz w:val="24"/>
              </w:rPr>
              <w:t>建筑用石材</w:t>
            </w: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eastAsia="仿宋_GB2312"/>
                <w:sz w:val="24"/>
              </w:rPr>
            </w:pPr>
            <w:r>
              <w:rPr>
                <w:rStyle w:val="10"/>
                <w:rFonts w:ascii="宋体" w:hAnsi="宋体" w:eastAsia="仿宋_GB2312"/>
                <w:sz w:val="24"/>
              </w:rPr>
              <w:t>万立方米/年</w:t>
            </w: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eastAsia="仿宋_GB2312"/>
                <w:sz w:val="24"/>
              </w:rPr>
            </w:pPr>
            <w:r>
              <w:rPr>
                <w:rStyle w:val="10"/>
                <w:rFonts w:ascii="宋体" w:hAnsi="宋体" w:eastAsia="仿宋_GB2312"/>
                <w:sz w:val="24"/>
              </w:rPr>
              <w:t>5</w:t>
            </w:r>
          </w:p>
        </w:tc>
      </w:tr>
    </w:tbl>
    <w:p>
      <w:pPr>
        <w:jc w:val="center"/>
        <w:rPr>
          <w:rStyle w:val="10"/>
          <w:rFonts w:ascii="宋体" w:hAnsi="宋体" w:eastAsia="仿宋_GB2312"/>
          <w:sz w:val="24"/>
        </w:rPr>
      </w:pPr>
    </w:p>
    <w:p>
      <w:pPr>
        <w:pStyle w:val="15"/>
        <w:spacing w:before="312" w:after="156" w:line="640" w:lineRule="exact"/>
        <w:ind w:firstLine="640" w:firstLineChars="200"/>
        <w:outlineLvl w:val="2"/>
        <w:rPr>
          <w:rStyle w:val="10"/>
          <w:rFonts w:ascii="黑体" w:eastAsia="黑体"/>
          <w:b w:val="0"/>
          <w:szCs w:val="28"/>
        </w:rPr>
      </w:pPr>
      <w:r>
        <w:rPr>
          <w:rStyle w:val="10"/>
          <w:rFonts w:ascii="黑体" w:eastAsia="黑体"/>
          <w:b w:val="0"/>
          <w:szCs w:val="28"/>
        </w:rPr>
        <w:t>二、合理调整矿山规模结构</w:t>
      </w:r>
    </w:p>
    <w:p>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按照集约高效原则，促进矿山规模化、集约化生产，提高大中型矿山比例，提升矿业权集中度和规模效益，以市场化手段，推动落后产能兼并重组、转型转产，鼓励和引导优质企业做大做强。到2025年，大中型矿山比例提高到70%以上。</w:t>
      </w:r>
    </w:p>
    <w:p>
      <w:pPr>
        <w:pStyle w:val="15"/>
        <w:spacing w:before="312" w:after="156" w:line="640" w:lineRule="exact"/>
        <w:ind w:firstLine="640" w:firstLineChars="200"/>
        <w:outlineLvl w:val="2"/>
        <w:rPr>
          <w:rStyle w:val="10"/>
          <w:rFonts w:ascii="黑体" w:eastAsia="黑体"/>
          <w:b w:val="0"/>
          <w:szCs w:val="28"/>
          <w:highlight w:val="yellow"/>
        </w:rPr>
      </w:pPr>
      <w:r>
        <w:rPr>
          <w:rStyle w:val="10"/>
          <w:rFonts w:ascii="黑体" w:eastAsia="黑体"/>
          <w:b w:val="0"/>
          <w:szCs w:val="28"/>
        </w:rPr>
        <w:t>三、优化矿山生产要素结构</w:t>
      </w:r>
    </w:p>
    <w:p>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以煤炭生产矿山为重点，引导矿山企业进行生产要素重组，提高劳动力素质，开发先进适用的采选技术，更新开采加工设备，推广应用清洁生产和安全生产技术，逐步淘汰落后设备、技术、工艺，促进矿山企业提高矿产资源开采回采率和选矿回收率，减少资源浪费。同时，延长产业链、提高矿产品附加值，高效利用矿产资源，走节约、清洁、安全和可持续发展道路。</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节约与综合利用</w:t>
      </w:r>
    </w:p>
    <w:p>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积极推广矿产资源节约与综合利用先进技术，矿山企业通过节约与综合利用提质增效。</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一、加强共伴生矿产的综合开发利用</w:t>
      </w:r>
    </w:p>
    <w:p>
      <w:pPr>
        <w:spacing w:line="360" w:lineRule="auto"/>
        <w:ind w:firstLine="640" w:firstLineChars="200"/>
        <w:rPr>
          <w:rStyle w:val="10"/>
          <w:rFonts w:ascii="宋体" w:hAnsi="宋体" w:eastAsia="仿宋_GB2312" w:cs="Calibri"/>
          <w:bCs/>
          <w:sz w:val="32"/>
          <w:szCs w:val="28"/>
        </w:rPr>
      </w:pPr>
      <w:r>
        <w:rPr>
          <w:rStyle w:val="10"/>
          <w:rFonts w:ascii="仿宋_GB2312" w:eastAsia="仿宋_GB2312" w:cs="Calibri"/>
          <w:bCs/>
          <w:kern w:val="0"/>
          <w:sz w:val="32"/>
          <w:szCs w:val="32"/>
        </w:rPr>
        <w:t>着重解决中低品位矿、复杂难选冶矿及共伴生矿综合利用技术研究与产业化工作，加快选冶新技术、新工艺、新材料的研发、引进和应用工作，变潜在非传统资源为产业发展优势资源。</w:t>
      </w:r>
      <w:r>
        <w:rPr>
          <w:rStyle w:val="10"/>
          <w:rFonts w:ascii="宋体" w:hAnsi="宋体" w:eastAsia="仿宋_GB2312" w:cs="Calibri"/>
          <w:bCs/>
          <w:sz w:val="32"/>
          <w:szCs w:val="28"/>
        </w:rPr>
        <w:t>依靠先进技术，提升锗开采回收率，提高锗煤综合利用水平；加强对铬铁矿、铜锌混合矿等复杂难选矿石及低品位矿石的选冶加工利用性能研究，提高资源综合利用水平。</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二、加大矿山固体废弃物的综合利用率</w:t>
      </w:r>
    </w:p>
    <w:p>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继续做好采掘废石和选矿尾矿等矿山固体废弃物中有用组分的回收利用。加强有价值元素的提取技术研究，通过开发应用新的选矿技术和工艺，充分回收有价元素；鼓励金属、非金属矿山采掘废石作为建筑石料利用。加大政策扶持力度，实现废弃物的减量化、无害化和零排放，推进资源开发与生态环境的协调发展。</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三、严格执行“三率”指标要求</w:t>
      </w:r>
    </w:p>
    <w:p>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在资源开发利用过程中，涉及的“三率”指标需达到或超过国家规定的最低标准，配套完善“三率”指标考核相关激励、约束机制及准入、退出机制。对于资源高效利用的矿山，依法优先配置矿产资源，优先保障矿业用地等；对于实际“三率”不达标和严重浪费资源、破坏生态环境的矿山，责令限期整改，拒不整改或整改后仍不合格的，依法给予行政处罚，直至吊销采矿许可证。新建矿山，要求采用国家规定或建议推广的采选冶新技术新工艺，投产后的“三率”指标必须达到设计方案要求。</w:t>
      </w:r>
    </w:p>
    <w:p>
      <w:pPr>
        <w:pStyle w:val="12"/>
        <w:rPr>
          <w:rStyle w:val="10"/>
          <w:rFonts w:ascii="宋体" w:hAnsi="宋体" w:eastAsia="仿宋_GB2312" w:cs="Calibri"/>
          <w:bCs/>
          <w:sz w:val="32"/>
          <w:szCs w:val="28"/>
        </w:rPr>
      </w:pPr>
    </w:p>
    <w:p>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第五章  规划区块划定与勘查开采监督管理</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矿产资源勘查开采规划区块划定</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一、勘查规划区块的划定</w:t>
      </w:r>
    </w:p>
    <w:p>
      <w:pPr>
        <w:spacing w:line="360" w:lineRule="auto"/>
        <w:ind w:firstLine="640" w:firstLineChars="200"/>
        <w:rPr>
          <w:rStyle w:val="10"/>
          <w:rFonts w:ascii="宋体" w:hAnsi="宋体" w:eastAsia="仿宋_GB2312" w:cs="Calibri"/>
          <w:bCs/>
          <w:sz w:val="32"/>
          <w:szCs w:val="28"/>
        </w:rPr>
      </w:pPr>
      <w:r>
        <w:rPr>
          <w:rStyle w:val="10"/>
          <w:rFonts w:ascii="宋体" w:hAnsi="宋体" w:eastAsia="仿宋_GB2312" w:cs="Calibri"/>
          <w:bCs/>
          <w:sz w:val="32"/>
          <w:szCs w:val="28"/>
        </w:rPr>
        <w:t>按照同一矿种探矿权采矿权出让登记同级管理的要求，本级未划定勘查规划区块，共落实上级规划划定区块5个，包括地热4个、矿泉水1个，勘查程度均为详查，勘查总面积为262.05平方千米。</w:t>
      </w:r>
    </w:p>
    <w:p>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专栏7  勘查规划区块</w:t>
      </w:r>
    </w:p>
    <w:tbl>
      <w:tblPr>
        <w:tblStyle w:val="7"/>
        <w:tblW w:w="8362" w:type="dxa"/>
        <w:tblInd w:w="-28" w:type="dxa"/>
        <w:tblLayout w:type="autofit"/>
        <w:tblCellMar>
          <w:top w:w="0" w:type="dxa"/>
          <w:left w:w="0" w:type="dxa"/>
          <w:bottom w:w="0" w:type="dxa"/>
          <w:right w:w="0" w:type="dxa"/>
        </w:tblCellMar>
      </w:tblPr>
      <w:tblGrid>
        <w:gridCol w:w="608"/>
        <w:gridCol w:w="4240"/>
        <w:gridCol w:w="918"/>
        <w:gridCol w:w="1303"/>
        <w:gridCol w:w="1293"/>
      </w:tblGrid>
      <w:tr>
        <w:tblPrEx>
          <w:tblCellMar>
            <w:top w:w="0" w:type="dxa"/>
            <w:left w:w="0" w:type="dxa"/>
            <w:bottom w:w="0" w:type="dxa"/>
            <w:right w:w="0" w:type="dxa"/>
          </w:tblCellMar>
        </w:tblPrEx>
        <w:trPr>
          <w:trHeight w:val="547" w:hRule="atLeast"/>
        </w:trPr>
        <w:tc>
          <w:tcPr>
            <w:tcW w:w="60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napToGrid w:val="0"/>
              <w:jc w:val="center"/>
              <w:rPr>
                <w:rStyle w:val="10"/>
                <w:rFonts w:eastAsia="仿宋_GB2312" w:cs="Calibri"/>
                <w:b/>
                <w:bCs/>
                <w:kern w:val="0"/>
                <w:sz w:val="24"/>
              </w:rPr>
            </w:pPr>
            <w:r>
              <w:rPr>
                <w:rStyle w:val="10"/>
                <w:rFonts w:eastAsia="仿宋_GB2312" w:cs="Calibri"/>
                <w:b/>
                <w:bCs/>
                <w:kern w:val="0"/>
                <w:sz w:val="24"/>
              </w:rPr>
              <w:t>序号</w:t>
            </w:r>
          </w:p>
        </w:tc>
        <w:tc>
          <w:tcPr>
            <w:tcW w:w="4240" w:type="dxa"/>
            <w:tcBorders>
              <w:top w:val="single" w:color="000000" w:sz="4" w:space="0"/>
              <w:left w:val="nil"/>
              <w:bottom w:val="single" w:color="000000" w:sz="4" w:space="0"/>
              <w:right w:val="single" w:color="000000" w:sz="4" w:space="0"/>
            </w:tcBorders>
            <w:shd w:val="clear" w:color="auto" w:fill="D9D9D9"/>
            <w:vAlign w:val="center"/>
          </w:tcPr>
          <w:p>
            <w:pPr>
              <w:snapToGrid w:val="0"/>
              <w:jc w:val="center"/>
              <w:rPr>
                <w:rStyle w:val="10"/>
                <w:rFonts w:eastAsia="仿宋_GB2312" w:cs="Calibri"/>
                <w:b/>
                <w:bCs/>
                <w:kern w:val="0"/>
                <w:sz w:val="24"/>
              </w:rPr>
            </w:pPr>
            <w:r>
              <w:rPr>
                <w:rStyle w:val="10"/>
                <w:rFonts w:eastAsia="仿宋_GB2312" w:cs="Calibri"/>
                <w:b/>
                <w:bCs/>
                <w:kern w:val="0"/>
                <w:sz w:val="24"/>
              </w:rPr>
              <w:t>区块名称</w:t>
            </w:r>
          </w:p>
        </w:tc>
        <w:tc>
          <w:tcPr>
            <w:tcW w:w="918" w:type="dxa"/>
            <w:tcBorders>
              <w:top w:val="single" w:color="000000" w:sz="4" w:space="0"/>
              <w:left w:val="nil"/>
              <w:bottom w:val="single" w:color="000000" w:sz="4" w:space="0"/>
              <w:right w:val="single" w:color="000000" w:sz="4" w:space="0"/>
            </w:tcBorders>
            <w:shd w:val="clear" w:color="auto" w:fill="D9D9D9"/>
            <w:vAlign w:val="center"/>
          </w:tcPr>
          <w:p>
            <w:pPr>
              <w:snapToGrid w:val="0"/>
              <w:jc w:val="center"/>
              <w:rPr>
                <w:rStyle w:val="10"/>
                <w:rFonts w:eastAsia="仿宋_GB2312" w:cs="Calibri"/>
                <w:b/>
                <w:bCs/>
                <w:kern w:val="0"/>
                <w:sz w:val="24"/>
              </w:rPr>
            </w:pPr>
            <w:r>
              <w:rPr>
                <w:rStyle w:val="10"/>
                <w:rFonts w:eastAsia="仿宋_GB2312" w:cs="Calibri"/>
                <w:b/>
                <w:bCs/>
                <w:kern w:val="0"/>
                <w:sz w:val="24"/>
              </w:rPr>
              <w:t>勘查</w:t>
            </w:r>
          </w:p>
          <w:p>
            <w:pPr>
              <w:snapToGrid w:val="0"/>
              <w:jc w:val="center"/>
              <w:rPr>
                <w:rStyle w:val="10"/>
                <w:rFonts w:eastAsia="仿宋_GB2312" w:cs="Calibri"/>
                <w:b/>
                <w:bCs/>
                <w:kern w:val="0"/>
                <w:sz w:val="24"/>
              </w:rPr>
            </w:pPr>
            <w:r>
              <w:rPr>
                <w:rStyle w:val="10"/>
                <w:rFonts w:eastAsia="仿宋_GB2312" w:cs="Calibri"/>
                <w:b/>
                <w:bCs/>
                <w:kern w:val="0"/>
                <w:sz w:val="24"/>
              </w:rPr>
              <w:t>主矿种</w:t>
            </w:r>
          </w:p>
        </w:tc>
        <w:tc>
          <w:tcPr>
            <w:tcW w:w="1303" w:type="dxa"/>
            <w:tcBorders>
              <w:top w:val="single" w:color="000000" w:sz="4" w:space="0"/>
              <w:left w:val="nil"/>
              <w:bottom w:val="single" w:color="000000" w:sz="4" w:space="0"/>
              <w:right w:val="single" w:color="000000" w:sz="4" w:space="0"/>
            </w:tcBorders>
            <w:shd w:val="clear" w:color="auto" w:fill="D9D9D9"/>
            <w:vAlign w:val="center"/>
          </w:tcPr>
          <w:p>
            <w:pPr>
              <w:snapToGrid w:val="0"/>
              <w:jc w:val="center"/>
              <w:rPr>
                <w:rStyle w:val="10"/>
                <w:rFonts w:eastAsia="仿宋_GB2312" w:cs="Calibri"/>
                <w:b/>
                <w:bCs/>
                <w:kern w:val="0"/>
                <w:sz w:val="24"/>
              </w:rPr>
            </w:pPr>
            <w:r>
              <w:rPr>
                <w:rStyle w:val="10"/>
                <w:rFonts w:eastAsia="仿宋_GB2312" w:cs="Calibri"/>
                <w:b/>
                <w:bCs/>
                <w:kern w:val="0"/>
                <w:sz w:val="24"/>
              </w:rPr>
              <w:t>面积</w:t>
            </w:r>
          </w:p>
          <w:p>
            <w:pPr>
              <w:snapToGrid w:val="0"/>
              <w:jc w:val="center"/>
              <w:rPr>
                <w:rStyle w:val="10"/>
                <w:rFonts w:eastAsia="仿宋_GB2312" w:cs="Calibri"/>
                <w:b/>
                <w:bCs/>
                <w:kern w:val="0"/>
                <w:sz w:val="24"/>
              </w:rPr>
            </w:pPr>
            <w:r>
              <w:rPr>
                <w:rStyle w:val="10"/>
                <w:rFonts w:eastAsia="仿宋_GB2312" w:cs="Calibri"/>
                <w:b/>
                <w:bCs/>
                <w:kern w:val="0"/>
                <w:sz w:val="24"/>
              </w:rPr>
              <w:t>(平方千米)</w:t>
            </w:r>
          </w:p>
        </w:tc>
        <w:tc>
          <w:tcPr>
            <w:tcW w:w="1293" w:type="dxa"/>
            <w:tcBorders>
              <w:top w:val="single" w:color="000000" w:sz="4" w:space="0"/>
              <w:left w:val="nil"/>
              <w:bottom w:val="single" w:color="000000" w:sz="4" w:space="0"/>
              <w:right w:val="single" w:color="000000" w:sz="4" w:space="0"/>
            </w:tcBorders>
            <w:shd w:val="clear" w:color="auto" w:fill="D9D9D9"/>
            <w:vAlign w:val="center"/>
          </w:tcPr>
          <w:p>
            <w:pPr>
              <w:snapToGrid w:val="0"/>
              <w:jc w:val="center"/>
              <w:rPr>
                <w:rStyle w:val="10"/>
                <w:rFonts w:eastAsia="仿宋_GB2312" w:cs="Calibri"/>
                <w:b/>
                <w:bCs/>
                <w:kern w:val="0"/>
                <w:sz w:val="24"/>
              </w:rPr>
            </w:pPr>
            <w:r>
              <w:rPr>
                <w:rStyle w:val="10"/>
                <w:rFonts w:eastAsia="仿宋_GB2312" w:cs="Calibri"/>
                <w:b/>
                <w:bCs/>
                <w:kern w:val="0"/>
                <w:sz w:val="24"/>
              </w:rPr>
              <w:t>拟设探矿权勘查阶段</w:t>
            </w:r>
          </w:p>
        </w:tc>
      </w:tr>
      <w:tr>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pPr>
              <w:snapToGrid w:val="0"/>
              <w:jc w:val="center"/>
              <w:rPr>
                <w:rStyle w:val="10"/>
                <w:rFonts w:eastAsia="仿宋_GB2312"/>
                <w:kern w:val="0"/>
                <w:sz w:val="24"/>
              </w:rPr>
            </w:pPr>
            <w:r>
              <w:rPr>
                <w:rStyle w:val="10"/>
                <w:rFonts w:eastAsia="仿宋_GB2312"/>
                <w:kern w:val="0"/>
                <w:sz w:val="24"/>
              </w:rPr>
              <w:t>1</w:t>
            </w:r>
          </w:p>
        </w:tc>
        <w:tc>
          <w:tcPr>
            <w:tcW w:w="4240" w:type="dxa"/>
            <w:tcBorders>
              <w:top w:val="nil"/>
              <w:left w:val="nil"/>
              <w:bottom w:val="single" w:color="000000" w:sz="4" w:space="0"/>
              <w:right w:val="single" w:color="000000" w:sz="4" w:space="0"/>
            </w:tcBorders>
            <w:vAlign w:val="center"/>
          </w:tcPr>
          <w:p>
            <w:pPr>
              <w:snapToGrid w:val="0"/>
              <w:jc w:val="left"/>
              <w:rPr>
                <w:rStyle w:val="10"/>
                <w:rFonts w:eastAsia="仿宋_GB2312"/>
                <w:kern w:val="0"/>
                <w:sz w:val="24"/>
              </w:rPr>
            </w:pPr>
            <w:r>
              <w:rPr>
                <w:rStyle w:val="10"/>
                <w:rFonts w:eastAsia="仿宋_GB2312"/>
                <w:kern w:val="0"/>
                <w:sz w:val="24"/>
              </w:rPr>
              <w:t>内蒙古自治区锡林浩特市吉日嘎郎图凹陷中段四区地热资源普查</w:t>
            </w:r>
          </w:p>
        </w:tc>
        <w:tc>
          <w:tcPr>
            <w:tcW w:w="918"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96.58</w:t>
            </w:r>
          </w:p>
        </w:tc>
        <w:tc>
          <w:tcPr>
            <w:tcW w:w="129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详查</w:t>
            </w:r>
          </w:p>
        </w:tc>
      </w:tr>
      <w:tr>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pPr>
              <w:snapToGrid w:val="0"/>
              <w:jc w:val="center"/>
              <w:rPr>
                <w:rStyle w:val="10"/>
                <w:rFonts w:eastAsia="仿宋_GB2312"/>
                <w:kern w:val="0"/>
                <w:sz w:val="24"/>
              </w:rPr>
            </w:pPr>
            <w:r>
              <w:rPr>
                <w:rStyle w:val="10"/>
                <w:rFonts w:eastAsia="仿宋_GB2312"/>
                <w:kern w:val="0"/>
                <w:sz w:val="24"/>
              </w:rPr>
              <w:t>2</w:t>
            </w:r>
          </w:p>
        </w:tc>
        <w:tc>
          <w:tcPr>
            <w:tcW w:w="4240" w:type="dxa"/>
            <w:tcBorders>
              <w:top w:val="nil"/>
              <w:left w:val="nil"/>
              <w:bottom w:val="single" w:color="000000" w:sz="4" w:space="0"/>
              <w:right w:val="single" w:color="000000" w:sz="4" w:space="0"/>
            </w:tcBorders>
            <w:vAlign w:val="center"/>
          </w:tcPr>
          <w:p>
            <w:pPr>
              <w:snapToGrid w:val="0"/>
              <w:jc w:val="left"/>
              <w:rPr>
                <w:rStyle w:val="10"/>
                <w:rFonts w:eastAsia="仿宋_GB2312"/>
                <w:kern w:val="0"/>
                <w:sz w:val="24"/>
              </w:rPr>
            </w:pPr>
            <w:r>
              <w:rPr>
                <w:rStyle w:val="10"/>
                <w:rFonts w:eastAsia="仿宋_GB2312"/>
                <w:kern w:val="0"/>
                <w:sz w:val="24"/>
              </w:rPr>
              <w:t>内蒙古自治区锡林浩特市吉日嘎郎图凹陷中段一区地热资源普查</w:t>
            </w:r>
          </w:p>
        </w:tc>
        <w:tc>
          <w:tcPr>
            <w:tcW w:w="918"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30.56</w:t>
            </w:r>
          </w:p>
        </w:tc>
        <w:tc>
          <w:tcPr>
            <w:tcW w:w="129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详查</w:t>
            </w:r>
          </w:p>
        </w:tc>
      </w:tr>
      <w:tr>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pPr>
              <w:snapToGrid w:val="0"/>
              <w:jc w:val="center"/>
              <w:rPr>
                <w:rStyle w:val="10"/>
                <w:rFonts w:eastAsia="仿宋_GB2312"/>
                <w:kern w:val="0"/>
                <w:sz w:val="24"/>
              </w:rPr>
            </w:pPr>
            <w:r>
              <w:rPr>
                <w:rStyle w:val="10"/>
                <w:rFonts w:eastAsia="仿宋_GB2312"/>
                <w:kern w:val="0"/>
                <w:sz w:val="24"/>
              </w:rPr>
              <w:t>3</w:t>
            </w:r>
          </w:p>
        </w:tc>
        <w:tc>
          <w:tcPr>
            <w:tcW w:w="4240" w:type="dxa"/>
            <w:tcBorders>
              <w:top w:val="nil"/>
              <w:left w:val="nil"/>
              <w:bottom w:val="single" w:color="000000" w:sz="4" w:space="0"/>
              <w:right w:val="single" w:color="000000" w:sz="4" w:space="0"/>
            </w:tcBorders>
            <w:vAlign w:val="center"/>
          </w:tcPr>
          <w:p>
            <w:pPr>
              <w:snapToGrid w:val="0"/>
              <w:jc w:val="left"/>
              <w:rPr>
                <w:rStyle w:val="10"/>
                <w:rFonts w:eastAsia="仿宋_GB2312"/>
                <w:kern w:val="0"/>
                <w:sz w:val="24"/>
              </w:rPr>
            </w:pPr>
            <w:r>
              <w:rPr>
                <w:rStyle w:val="10"/>
                <w:rFonts w:eastAsia="仿宋_GB2312"/>
                <w:kern w:val="0"/>
                <w:sz w:val="24"/>
              </w:rPr>
              <w:t>内蒙古自治区锡林浩特市舒特诺尔地区地热资源1区普查</w:t>
            </w:r>
          </w:p>
        </w:tc>
        <w:tc>
          <w:tcPr>
            <w:tcW w:w="918"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74.92</w:t>
            </w:r>
          </w:p>
        </w:tc>
        <w:tc>
          <w:tcPr>
            <w:tcW w:w="129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详查</w:t>
            </w:r>
          </w:p>
        </w:tc>
      </w:tr>
      <w:tr>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pPr>
              <w:snapToGrid w:val="0"/>
              <w:jc w:val="center"/>
              <w:rPr>
                <w:rStyle w:val="10"/>
                <w:rFonts w:eastAsia="仿宋_GB2312"/>
                <w:kern w:val="0"/>
                <w:sz w:val="24"/>
              </w:rPr>
            </w:pPr>
            <w:r>
              <w:rPr>
                <w:rStyle w:val="10"/>
                <w:rFonts w:eastAsia="仿宋_GB2312"/>
                <w:kern w:val="0"/>
                <w:sz w:val="24"/>
              </w:rPr>
              <w:t>4</w:t>
            </w:r>
          </w:p>
        </w:tc>
        <w:tc>
          <w:tcPr>
            <w:tcW w:w="4240" w:type="dxa"/>
            <w:tcBorders>
              <w:top w:val="nil"/>
              <w:left w:val="nil"/>
              <w:bottom w:val="single" w:color="000000" w:sz="4" w:space="0"/>
              <w:right w:val="single" w:color="000000" w:sz="4" w:space="0"/>
            </w:tcBorders>
            <w:vAlign w:val="center"/>
          </w:tcPr>
          <w:p>
            <w:pPr>
              <w:snapToGrid w:val="0"/>
              <w:jc w:val="left"/>
              <w:rPr>
                <w:rStyle w:val="10"/>
                <w:rFonts w:eastAsia="仿宋_GB2312"/>
                <w:kern w:val="0"/>
                <w:sz w:val="24"/>
              </w:rPr>
            </w:pPr>
            <w:r>
              <w:rPr>
                <w:rStyle w:val="10"/>
                <w:rFonts w:eastAsia="仿宋_GB2312"/>
                <w:kern w:val="0"/>
                <w:sz w:val="24"/>
              </w:rPr>
              <w:t>内蒙古自治区锡林浩特市舒特诺尔地区地热资源2区普查</w:t>
            </w:r>
          </w:p>
        </w:tc>
        <w:tc>
          <w:tcPr>
            <w:tcW w:w="918"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地热</w:t>
            </w:r>
          </w:p>
        </w:tc>
        <w:tc>
          <w:tcPr>
            <w:tcW w:w="130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35.46</w:t>
            </w:r>
          </w:p>
        </w:tc>
        <w:tc>
          <w:tcPr>
            <w:tcW w:w="129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详查</w:t>
            </w:r>
          </w:p>
        </w:tc>
      </w:tr>
      <w:tr>
        <w:tblPrEx>
          <w:tblCellMar>
            <w:top w:w="0" w:type="dxa"/>
            <w:left w:w="0" w:type="dxa"/>
            <w:bottom w:w="0" w:type="dxa"/>
            <w:right w:w="0" w:type="dxa"/>
          </w:tblCellMar>
        </w:tblPrEx>
        <w:trPr>
          <w:trHeight w:val="397" w:hRule="atLeast"/>
        </w:trPr>
        <w:tc>
          <w:tcPr>
            <w:tcW w:w="608" w:type="dxa"/>
            <w:tcBorders>
              <w:top w:val="nil"/>
              <w:left w:val="single" w:color="000000" w:sz="4" w:space="0"/>
              <w:bottom w:val="single" w:color="000000" w:sz="4" w:space="0"/>
              <w:right w:val="single" w:color="000000" w:sz="4" w:space="0"/>
            </w:tcBorders>
            <w:noWrap/>
            <w:vAlign w:val="center"/>
          </w:tcPr>
          <w:p>
            <w:pPr>
              <w:snapToGrid w:val="0"/>
              <w:jc w:val="center"/>
              <w:rPr>
                <w:rStyle w:val="10"/>
                <w:rFonts w:eastAsia="仿宋_GB2312"/>
                <w:kern w:val="0"/>
                <w:sz w:val="24"/>
              </w:rPr>
            </w:pPr>
            <w:r>
              <w:rPr>
                <w:rStyle w:val="10"/>
                <w:rFonts w:eastAsia="仿宋_GB2312"/>
                <w:kern w:val="0"/>
                <w:sz w:val="24"/>
              </w:rPr>
              <w:t>5</w:t>
            </w:r>
          </w:p>
        </w:tc>
        <w:tc>
          <w:tcPr>
            <w:tcW w:w="4240" w:type="dxa"/>
            <w:tcBorders>
              <w:top w:val="nil"/>
              <w:left w:val="nil"/>
              <w:bottom w:val="single" w:color="000000" w:sz="4" w:space="0"/>
              <w:right w:val="single" w:color="000000" w:sz="4" w:space="0"/>
            </w:tcBorders>
            <w:vAlign w:val="center"/>
          </w:tcPr>
          <w:p>
            <w:pPr>
              <w:snapToGrid w:val="0"/>
              <w:jc w:val="left"/>
              <w:rPr>
                <w:rStyle w:val="10"/>
                <w:rFonts w:eastAsia="仿宋_GB2312"/>
                <w:kern w:val="0"/>
                <w:sz w:val="24"/>
              </w:rPr>
            </w:pPr>
            <w:r>
              <w:rPr>
                <w:rStyle w:val="10"/>
                <w:rFonts w:eastAsia="仿宋_GB2312"/>
                <w:kern w:val="0"/>
                <w:sz w:val="24"/>
              </w:rPr>
              <w:t>内蒙古自治区锡林浩特市阿尔善布拉格地区矿泉水普查</w:t>
            </w:r>
          </w:p>
        </w:tc>
        <w:tc>
          <w:tcPr>
            <w:tcW w:w="918"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矿泉水</w:t>
            </w:r>
          </w:p>
        </w:tc>
        <w:tc>
          <w:tcPr>
            <w:tcW w:w="130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24.53</w:t>
            </w:r>
          </w:p>
        </w:tc>
        <w:tc>
          <w:tcPr>
            <w:tcW w:w="1293" w:type="dxa"/>
            <w:tcBorders>
              <w:top w:val="nil"/>
              <w:left w:val="nil"/>
              <w:bottom w:val="single" w:color="000000" w:sz="4" w:space="0"/>
              <w:right w:val="single" w:color="000000" w:sz="4" w:space="0"/>
            </w:tcBorders>
            <w:vAlign w:val="center"/>
          </w:tcPr>
          <w:p>
            <w:pPr>
              <w:snapToGrid w:val="0"/>
              <w:jc w:val="center"/>
              <w:rPr>
                <w:rStyle w:val="10"/>
                <w:rFonts w:eastAsia="仿宋_GB2312"/>
                <w:kern w:val="0"/>
                <w:sz w:val="24"/>
              </w:rPr>
            </w:pPr>
            <w:r>
              <w:rPr>
                <w:rStyle w:val="10"/>
                <w:rFonts w:eastAsia="仿宋_GB2312"/>
                <w:kern w:val="0"/>
                <w:sz w:val="24"/>
              </w:rPr>
              <w:t>详查</w:t>
            </w:r>
          </w:p>
        </w:tc>
      </w:tr>
    </w:tbl>
    <w:p>
      <w:pPr>
        <w:spacing w:line="360" w:lineRule="auto"/>
        <w:ind w:firstLine="640" w:firstLineChars="200"/>
        <w:rPr>
          <w:rStyle w:val="10"/>
          <w:rFonts w:ascii="宋体" w:hAnsi="宋体" w:eastAsia="仿宋_GB2312" w:cs="Calibri"/>
          <w:bCs/>
          <w:sz w:val="32"/>
          <w:szCs w:val="28"/>
        </w:rPr>
      </w:pPr>
    </w:p>
    <w:p>
      <w:pPr>
        <w:pStyle w:val="15"/>
        <w:spacing w:before="156" w:after="156" w:line="640" w:lineRule="exact"/>
        <w:ind w:firstLine="640" w:firstLineChars="200"/>
        <w:outlineLvl w:val="2"/>
        <w:rPr>
          <w:rStyle w:val="10"/>
          <w:rFonts w:ascii="黑体" w:eastAsia="黑体"/>
          <w:b w:val="0"/>
          <w:szCs w:val="28"/>
        </w:rPr>
      </w:pPr>
      <w:r>
        <w:rPr>
          <w:rStyle w:val="10"/>
          <w:rFonts w:ascii="黑体" w:eastAsia="黑体"/>
          <w:b w:val="0"/>
          <w:szCs w:val="28"/>
        </w:rPr>
        <w:t>二、开采规划区块的划定</w:t>
      </w:r>
    </w:p>
    <w:p>
      <w:pPr>
        <w:spacing w:line="360" w:lineRule="auto"/>
        <w:ind w:firstLine="614" w:firstLineChars="192"/>
        <w:rPr>
          <w:rStyle w:val="10"/>
          <w:rFonts w:ascii="宋体" w:hAnsi="宋体" w:eastAsia="仿宋_GB2312" w:cs="Calibri"/>
          <w:bCs/>
          <w:sz w:val="32"/>
          <w:szCs w:val="28"/>
        </w:rPr>
      </w:pPr>
      <w:r>
        <w:rPr>
          <w:rStyle w:val="10"/>
          <w:rFonts w:ascii="宋体" w:hAnsi="宋体" w:eastAsia="仿宋_GB2312" w:cs="Calibri"/>
          <w:bCs/>
          <w:sz w:val="32"/>
          <w:szCs w:val="28"/>
        </w:rPr>
        <w:t>本级未划定普通建筑材料用砂石土矿开采规划区块，新上此类矿产的采矿权，优先在集中开采区设立。本次落实上级规划划定的开采规划区块2个，均为地下水，开采总面积为154.27平方千米。</w:t>
      </w:r>
    </w:p>
    <w:p>
      <w:pPr>
        <w:spacing w:line="360" w:lineRule="auto"/>
        <w:ind w:firstLine="562" w:firstLineChars="200"/>
        <w:jc w:val="center"/>
        <w:rPr>
          <w:rStyle w:val="10"/>
          <w:rFonts w:ascii="仿宋_GB2312" w:hAnsi="宋体" w:eastAsia="仿宋_GB2312"/>
          <w:b/>
          <w:sz w:val="28"/>
          <w:szCs w:val="28"/>
        </w:rPr>
      </w:pPr>
      <w:r>
        <w:rPr>
          <w:rStyle w:val="10"/>
          <w:rFonts w:ascii="仿宋_GB2312" w:hAnsi="宋体" w:eastAsia="仿宋_GB2312"/>
          <w:b/>
          <w:sz w:val="28"/>
          <w:szCs w:val="28"/>
        </w:rPr>
        <w:t>专栏8  开采规划区块</w:t>
      </w:r>
    </w:p>
    <w:tbl>
      <w:tblPr>
        <w:tblStyle w:val="7"/>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0"/>
        <w:gridCol w:w="4037"/>
        <w:gridCol w:w="1671"/>
        <w:gridCol w:w="2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7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eastAsia="仿宋_GB2312" w:cs="Calibri"/>
                <w:b/>
                <w:bCs/>
                <w:kern w:val="0"/>
                <w:sz w:val="24"/>
              </w:rPr>
            </w:pPr>
            <w:r>
              <w:rPr>
                <w:rStyle w:val="10"/>
                <w:rFonts w:eastAsia="仿宋_GB2312" w:cs="Calibri"/>
                <w:b/>
                <w:bCs/>
                <w:kern w:val="0"/>
                <w:sz w:val="24"/>
              </w:rPr>
              <w:t>序号</w:t>
            </w:r>
          </w:p>
        </w:tc>
        <w:tc>
          <w:tcPr>
            <w:tcW w:w="40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eastAsia="仿宋_GB2312" w:cs="Calibri"/>
                <w:b/>
                <w:bCs/>
                <w:kern w:val="0"/>
                <w:sz w:val="24"/>
              </w:rPr>
            </w:pPr>
            <w:r>
              <w:rPr>
                <w:rStyle w:val="10"/>
                <w:rFonts w:eastAsia="仿宋_GB2312" w:cs="Calibri"/>
                <w:b/>
                <w:bCs/>
                <w:kern w:val="0"/>
                <w:sz w:val="24"/>
              </w:rPr>
              <w:t>区块名称</w:t>
            </w:r>
          </w:p>
        </w:tc>
        <w:tc>
          <w:tcPr>
            <w:tcW w:w="16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eastAsia="仿宋_GB2312" w:cs="Calibri"/>
                <w:b/>
                <w:bCs/>
                <w:kern w:val="0"/>
                <w:sz w:val="24"/>
              </w:rPr>
            </w:pPr>
            <w:r>
              <w:rPr>
                <w:rStyle w:val="10"/>
                <w:rFonts w:eastAsia="仿宋_GB2312" w:cs="Calibri"/>
                <w:b/>
                <w:bCs/>
                <w:kern w:val="0"/>
                <w:sz w:val="24"/>
              </w:rPr>
              <w:t>开采主矿种</w:t>
            </w:r>
          </w:p>
        </w:tc>
        <w:tc>
          <w:tcPr>
            <w:tcW w:w="20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Style w:val="10"/>
                <w:rFonts w:eastAsia="仿宋_GB2312" w:cs="Calibri"/>
                <w:b/>
                <w:bCs/>
                <w:kern w:val="0"/>
                <w:sz w:val="24"/>
              </w:rPr>
            </w:pPr>
            <w:r>
              <w:rPr>
                <w:rStyle w:val="10"/>
                <w:rFonts w:eastAsia="仿宋_GB2312" w:cs="Calibri"/>
                <w:b/>
                <w:bCs/>
                <w:kern w:val="0"/>
                <w:sz w:val="24"/>
              </w:rPr>
              <w:t>面积（平方千米）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0"/>
                <w:rFonts w:eastAsia="仿宋_GB2312"/>
                <w:color w:val="000000"/>
                <w:kern w:val="0"/>
                <w:sz w:val="24"/>
              </w:rPr>
            </w:pPr>
            <w:r>
              <w:rPr>
                <w:rStyle w:val="10"/>
                <w:rFonts w:eastAsia="仿宋_GB2312"/>
                <w:color w:val="000000"/>
                <w:kern w:val="0"/>
                <w:sz w:val="24"/>
              </w:rPr>
              <w:t>1</w:t>
            </w:r>
          </w:p>
        </w:tc>
        <w:tc>
          <w:tcPr>
            <w:tcW w:w="4037" w:type="dxa"/>
            <w:tcBorders>
              <w:top w:val="single" w:color="000000" w:sz="4" w:space="0"/>
              <w:left w:val="single" w:color="000000" w:sz="4" w:space="0"/>
              <w:bottom w:val="single" w:color="000000" w:sz="4" w:space="0"/>
              <w:right w:val="single" w:color="000000" w:sz="4" w:space="0"/>
            </w:tcBorders>
            <w:vAlign w:val="center"/>
          </w:tcPr>
          <w:p>
            <w:pPr>
              <w:jc w:val="left"/>
              <w:rPr>
                <w:rStyle w:val="10"/>
                <w:rFonts w:eastAsia="仿宋_GB2312"/>
                <w:kern w:val="0"/>
                <w:sz w:val="24"/>
              </w:rPr>
            </w:pPr>
            <w:r>
              <w:rPr>
                <w:rStyle w:val="10"/>
                <w:rFonts w:eastAsia="仿宋_GB2312"/>
                <w:kern w:val="0"/>
                <w:sz w:val="24"/>
              </w:rPr>
              <w:t>内蒙古自治区锡林浩特市巴彦宝力格盆地（</w:t>
            </w:r>
            <w:r>
              <w:rPr>
                <w:rStyle w:val="10"/>
                <w:rFonts w:ascii="宋体" w:hAnsi="宋体"/>
                <w:kern w:val="0"/>
                <w:sz w:val="24"/>
              </w:rPr>
              <w:t>Ⅱ</w:t>
            </w:r>
            <w:r>
              <w:rPr>
                <w:rStyle w:val="10"/>
                <w:rFonts w:eastAsia="仿宋_GB2312"/>
                <w:kern w:val="0"/>
                <w:sz w:val="24"/>
              </w:rPr>
              <w:t>区）供水水源地质勘探</w:t>
            </w:r>
          </w:p>
        </w:tc>
        <w:tc>
          <w:tcPr>
            <w:tcW w:w="1671"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仿宋_GB2312"/>
                <w:kern w:val="0"/>
                <w:sz w:val="24"/>
              </w:rPr>
            </w:pPr>
            <w:r>
              <w:rPr>
                <w:rStyle w:val="10"/>
                <w:rFonts w:eastAsia="仿宋_GB2312"/>
                <w:kern w:val="0"/>
                <w:sz w:val="24"/>
              </w:rPr>
              <w:t>地下水</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仿宋_GB2312"/>
                <w:kern w:val="0"/>
                <w:sz w:val="24"/>
              </w:rPr>
            </w:pPr>
            <w:r>
              <w:rPr>
                <w:rStyle w:val="10"/>
                <w:rFonts w:eastAsia="仿宋_GB2312"/>
                <w:kern w:val="0"/>
                <w:sz w:val="24"/>
              </w:rPr>
              <w:t>105.91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0" w:type="dxa"/>
            <w:tcBorders>
              <w:top w:val="single" w:color="000000" w:sz="4" w:space="0"/>
              <w:left w:val="single" w:color="000000" w:sz="4" w:space="0"/>
              <w:bottom w:val="single" w:color="000000" w:sz="4" w:space="0"/>
              <w:right w:val="single" w:color="000000" w:sz="4" w:space="0"/>
            </w:tcBorders>
            <w:noWrap/>
            <w:vAlign w:val="center"/>
          </w:tcPr>
          <w:p>
            <w:pPr>
              <w:jc w:val="center"/>
              <w:rPr>
                <w:rStyle w:val="10"/>
                <w:rFonts w:eastAsia="仿宋_GB2312"/>
                <w:color w:val="000000"/>
                <w:kern w:val="0"/>
                <w:sz w:val="24"/>
              </w:rPr>
            </w:pPr>
            <w:r>
              <w:rPr>
                <w:rStyle w:val="10"/>
                <w:rFonts w:eastAsia="仿宋_GB2312"/>
                <w:color w:val="000000"/>
                <w:kern w:val="0"/>
                <w:sz w:val="24"/>
              </w:rPr>
              <w:t>2</w:t>
            </w:r>
          </w:p>
        </w:tc>
        <w:tc>
          <w:tcPr>
            <w:tcW w:w="4037" w:type="dxa"/>
            <w:tcBorders>
              <w:top w:val="single" w:color="000000" w:sz="4" w:space="0"/>
              <w:left w:val="single" w:color="000000" w:sz="4" w:space="0"/>
              <w:bottom w:val="single" w:color="000000" w:sz="4" w:space="0"/>
              <w:right w:val="single" w:color="000000" w:sz="4" w:space="0"/>
            </w:tcBorders>
            <w:vAlign w:val="center"/>
          </w:tcPr>
          <w:p>
            <w:pPr>
              <w:jc w:val="left"/>
              <w:rPr>
                <w:rStyle w:val="10"/>
                <w:rFonts w:eastAsia="仿宋_GB2312"/>
                <w:kern w:val="0"/>
                <w:sz w:val="24"/>
              </w:rPr>
            </w:pPr>
            <w:r>
              <w:rPr>
                <w:rStyle w:val="10"/>
                <w:rFonts w:eastAsia="仿宋_GB2312"/>
                <w:kern w:val="0"/>
                <w:sz w:val="24"/>
              </w:rPr>
              <w:t>内蒙古自治区锡林浩特市巴彦宝力格盆地（</w:t>
            </w:r>
            <w:r>
              <w:rPr>
                <w:rStyle w:val="10"/>
                <w:rFonts w:ascii="宋体" w:hAnsi="宋体"/>
                <w:kern w:val="0"/>
                <w:sz w:val="24"/>
              </w:rPr>
              <w:t>Ⅰ</w:t>
            </w:r>
            <w:r>
              <w:rPr>
                <w:rStyle w:val="10"/>
                <w:rFonts w:eastAsia="仿宋_GB2312"/>
                <w:kern w:val="0"/>
                <w:sz w:val="24"/>
              </w:rPr>
              <w:t>区）供水水源地质勘探</w:t>
            </w:r>
          </w:p>
        </w:tc>
        <w:tc>
          <w:tcPr>
            <w:tcW w:w="1671"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仿宋_GB2312"/>
                <w:kern w:val="0"/>
                <w:sz w:val="24"/>
              </w:rPr>
            </w:pPr>
            <w:r>
              <w:rPr>
                <w:rStyle w:val="10"/>
                <w:rFonts w:eastAsia="仿宋_GB2312"/>
                <w:kern w:val="0"/>
                <w:sz w:val="24"/>
              </w:rPr>
              <w:t>地下水</w:t>
            </w:r>
          </w:p>
        </w:tc>
        <w:tc>
          <w:tcPr>
            <w:tcW w:w="206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eastAsia="仿宋_GB2312"/>
                <w:kern w:val="0"/>
                <w:sz w:val="24"/>
              </w:rPr>
            </w:pPr>
            <w:r>
              <w:rPr>
                <w:rStyle w:val="10"/>
                <w:rFonts w:eastAsia="仿宋_GB2312"/>
                <w:kern w:val="0"/>
                <w:sz w:val="24"/>
              </w:rPr>
              <w:t>48.36</w:t>
            </w:r>
          </w:p>
        </w:tc>
      </w:tr>
    </w:tbl>
    <w:p>
      <w:pPr>
        <w:spacing w:line="360" w:lineRule="auto"/>
        <w:ind w:firstLine="640" w:firstLineChars="200"/>
        <w:rPr>
          <w:rStyle w:val="10"/>
          <w:rFonts w:ascii="宋体" w:hAnsi="宋体" w:eastAsia="仿宋_GB2312" w:cs="Calibri"/>
          <w:bCs/>
          <w:sz w:val="32"/>
          <w:szCs w:val="28"/>
        </w:rPr>
      </w:pPr>
    </w:p>
    <w:p>
      <w:pPr>
        <w:pStyle w:val="14"/>
        <w:spacing w:before="93" w:after="312" w:afterAutospacing="1" w:line="960" w:lineRule="exact"/>
        <w:jc w:val="center"/>
        <w:outlineLvl w:val="1"/>
        <w:rPr>
          <w:rStyle w:val="10"/>
          <w:rFonts w:ascii="宋体" w:hAnsi="宋体" w:eastAsia="仿宋_GB2312"/>
        </w:rPr>
      </w:pPr>
      <w:r>
        <w:rPr>
          <w:rStyle w:val="10"/>
          <w:rFonts w:ascii="宋体" w:hAnsi="宋体" w:eastAsia="仿宋_GB2312"/>
        </w:rPr>
        <w:t>第二节  矿产资源勘查开采监督管理</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一、严格矿业权的设置</w:t>
      </w:r>
    </w:p>
    <w:p>
      <w:pPr>
        <w:spacing w:line="360" w:lineRule="auto"/>
        <w:ind w:firstLine="640" w:firstLineChars="200"/>
        <w:rPr>
          <w:rStyle w:val="10"/>
          <w:rFonts w:ascii="仿宋_GB2312" w:eastAsia="仿宋_GB2312" w:cs="Calibri"/>
          <w:bCs/>
          <w:color w:val="000000"/>
          <w:kern w:val="0"/>
          <w:sz w:val="32"/>
          <w:szCs w:val="32"/>
        </w:rPr>
      </w:pPr>
      <w:r>
        <w:rPr>
          <w:rStyle w:val="10"/>
          <w:rFonts w:hAnsi="宋体" w:eastAsia="仿宋_GB2312" w:cs="Calibri"/>
          <w:bCs/>
          <w:sz w:val="32"/>
          <w:szCs w:val="28"/>
        </w:rPr>
        <w:t>本级新设建筑用砂石土采矿权优先安排在集中开采区内，矿权的设立必须符合开采准入条件，出让采矿权时明确具体开采范围与储量，可以整体开发的不得分割，严禁大矿小开，开采尽量不留边坡或少留边坡、禁止高陡边坡开采，将资源开发利用和矿山地质环境保护进行有机统一。</w:t>
      </w:r>
      <w:r>
        <w:rPr>
          <w:rStyle w:val="10"/>
          <w:rFonts w:ascii="仿宋_GB2312" w:eastAsia="仿宋_GB2312" w:cs="Calibri"/>
          <w:bCs/>
          <w:color w:val="000000"/>
          <w:kern w:val="0"/>
          <w:sz w:val="32"/>
          <w:szCs w:val="32"/>
        </w:rPr>
        <w:t>落实最严格的草原生态环境保护制度，在草原上严禁乱采滥挖和新上建筑用砂石土开发项目。</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二、规范建筑用砂石土采矿权的出让管理</w:t>
      </w:r>
    </w:p>
    <w:p>
      <w:pPr>
        <w:spacing w:line="360" w:lineRule="auto"/>
        <w:ind w:firstLine="640" w:firstLineChars="200"/>
        <w:rPr>
          <w:rStyle w:val="10"/>
          <w:rFonts w:hAnsi="宋体" w:eastAsia="仿宋_GB2312" w:cs="Calibri"/>
          <w:bCs/>
          <w:sz w:val="32"/>
          <w:szCs w:val="28"/>
        </w:rPr>
      </w:pPr>
      <w:r>
        <w:rPr>
          <w:rStyle w:val="10"/>
          <w:rFonts w:hAnsi="宋体" w:eastAsia="仿宋_GB2312" w:cs="Calibri"/>
          <w:bCs/>
          <w:sz w:val="32"/>
          <w:szCs w:val="28"/>
        </w:rPr>
        <w:t>全面推进建筑用砂石土采矿权以招拍挂等市场竞争方式公开出让，做到</w:t>
      </w:r>
      <w:r>
        <w:rPr>
          <w:rStyle w:val="10"/>
          <w:rFonts w:ascii="仿宋_GB2312" w:eastAsia="仿宋_GB2312" w:cs="Calibri"/>
          <w:bCs/>
          <w:color w:val="000000"/>
          <w:kern w:val="0"/>
          <w:sz w:val="32"/>
          <w:szCs w:val="32"/>
        </w:rPr>
        <w:t>公平交易，主动接受社会监督。</w:t>
      </w:r>
      <w:r>
        <w:rPr>
          <w:rStyle w:val="10"/>
          <w:rFonts w:hAnsi="宋体" w:eastAsia="仿宋_GB2312" w:cs="Calibri"/>
          <w:bCs/>
          <w:sz w:val="32"/>
          <w:szCs w:val="28"/>
        </w:rPr>
        <w:t>按照国家、自治区要求，积极探索建筑用砂石土采矿权的“净矿”出让，理顺出让规则、流程和方法，探索建立一套完整的“净矿”出让体制机制。</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三、加强矿产资源勘查开采的日常监督管理</w:t>
      </w:r>
    </w:p>
    <w:p>
      <w:pPr>
        <w:tabs>
          <w:tab w:val="left" w:pos="720"/>
        </w:tabs>
        <w:ind w:firstLine="640"/>
        <w:rPr>
          <w:rStyle w:val="10"/>
          <w:rFonts w:hAnsi="宋体" w:eastAsia="仿宋_GB2312" w:cs="Calibri"/>
          <w:bCs/>
          <w:sz w:val="32"/>
          <w:szCs w:val="28"/>
        </w:rPr>
      </w:pPr>
      <w:r>
        <w:rPr>
          <w:rStyle w:val="10"/>
          <w:rFonts w:hAnsi="宋体" w:eastAsia="仿宋_GB2312" w:cs="Calibri"/>
          <w:bCs/>
          <w:sz w:val="32"/>
          <w:szCs w:val="28"/>
        </w:rPr>
        <w:t>做好本级矿业权人监管信息、处罚信息及荣誉信息的采集、录入和审核工作。指导督促矿业权人按时公示年度勘查开采信息，按照“双随机、一公开”要求，以不低于现有矿业权10%的比例抽查矿业权人公示的勘查开采年度信息，规范管理矿业权人监管名单、异常名录和严重违法名单，及时处理矿业权人异议和社会公众举报。统筹负责全市所有矿山储量动态监督管理，指导和监督矿山企业开展年度储量数据填报，对资源储量发生重大变化或存在可疑的，应组织开展现场实地核查，及时处理。加强矿产资源领域突出问题专项整治实地巡查，组织力量定期对现有矿山开展包片监督检查，促使生产矿山严格按照开发利用方案进行开采。重点对无证开采、超层越界、造成严重生态环境破坏、存在安全隐患违规生产等矿产资源乱象进行监督和巡查。</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四、做好矿业权的退出</w:t>
      </w:r>
    </w:p>
    <w:p>
      <w:pPr>
        <w:ind w:firstLine="640" w:firstLineChars="200"/>
        <w:rPr>
          <w:rStyle w:val="10"/>
          <w:rFonts w:hAnsi="宋体" w:eastAsia="仿宋_GB2312" w:cs="Calibri"/>
          <w:bCs/>
          <w:sz w:val="32"/>
          <w:szCs w:val="28"/>
        </w:rPr>
      </w:pPr>
      <w:r>
        <w:rPr>
          <w:rStyle w:val="10"/>
          <w:rFonts w:hAnsi="宋体" w:eastAsia="仿宋_GB2312" w:cs="Calibri"/>
          <w:bCs/>
          <w:sz w:val="32"/>
          <w:szCs w:val="28"/>
        </w:rPr>
        <w:t>采矿权到期应及时办理延续手续。</w:t>
      </w:r>
      <w:r>
        <w:rPr>
          <w:rStyle w:val="10"/>
          <w:rFonts w:ascii="仿宋_GB2312" w:hAnsi="仿宋_GB2312" w:eastAsia="仿宋_GB2312"/>
          <w:sz w:val="32"/>
          <w:szCs w:val="32"/>
        </w:rPr>
        <w:t>因不可抗力等非申请人自身原因无法按规定提交采矿权延续申请资料的，需提交相关证明材料。被旗县</w:t>
      </w:r>
      <w:r>
        <w:rPr>
          <w:rStyle w:val="10"/>
          <w:rFonts w:hint="eastAsia" w:ascii="仿宋_GB2312" w:hAnsi="仿宋_GB2312" w:eastAsia="仿宋_GB2312"/>
          <w:sz w:val="32"/>
          <w:szCs w:val="32"/>
          <w:lang w:val="en-US" w:eastAsia="zh-CN"/>
        </w:rPr>
        <w:t>级</w:t>
      </w:r>
      <w:r>
        <w:rPr>
          <w:rStyle w:val="10"/>
          <w:rFonts w:ascii="仿宋_GB2312" w:hAnsi="仿宋_GB2312" w:eastAsia="仿宋_GB2312"/>
          <w:sz w:val="32"/>
          <w:szCs w:val="32"/>
        </w:rPr>
        <w:t>以上地方人民政府（或部门）公告关闭退出的矿山，可直接注销采矿许可证并向社会公告。因政策调整需退出的矿业权，应依据相应退出补偿机制，依规对矿业权进行征收和补偿。</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第三节  严格开采准入条件</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一、严格资格准入条件</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新建矿山企业必须具备与矿山建设规模相适应的人才、技术、资金、设备和安全管理方面的资格水平。主管部门对其矿区范围、矿山建设设计方案、生产技术条件、安全措施和环境保护措施进行审查，经审查合格后可予批准。</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二、严格规模准入条件</w:t>
      </w:r>
    </w:p>
    <w:p>
      <w:pPr>
        <w:spacing w:line="360" w:lineRule="auto"/>
        <w:ind w:firstLine="640" w:firstLineChars="200"/>
        <w:rPr>
          <w:rStyle w:val="10"/>
          <w:rFonts w:ascii="仿宋_GB2312" w:eastAsia="仿宋_GB2312" w:cs="Calibri"/>
          <w:bCs/>
          <w:kern w:val="0"/>
          <w:sz w:val="32"/>
          <w:szCs w:val="32"/>
        </w:rPr>
      </w:pPr>
      <w:r>
        <w:rPr>
          <w:rStyle w:val="10"/>
          <w:rFonts w:ascii="仿宋_GB2312" w:eastAsia="仿宋_GB2312" w:cs="Calibri"/>
          <w:bCs/>
          <w:kern w:val="0"/>
          <w:sz w:val="32"/>
          <w:szCs w:val="32"/>
        </w:rPr>
        <w:t>新建矿山开采规模不得低于规划划定标准，未划定标准的矿种应按国家标准采用中型下限，并与可供开采的矿产资源储量规模相适应，开采量要符合规划开采总量调控要求。</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三、严格生态环境准入条件</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新建矿山必须严格执行环境影响评价制度和生态恢复措施。矿山的环境保护工程设施，必须与主体工程同时设计、同时施工、同时投产使用，并同步建设综合利用、排土场等相应设施。采矿权人必须依据相关规定编制矿山地质环境保护与土地复垦方案，并建立矿山地质环境治理恢复基金账户。</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四、严格安全准入条件</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矿山建设和生产必须符合国家安全生产等法律法规规定及安全技术规程标准，具备相应的安全生产和职业危害防治条件，安全设施设计必须经过安全生产监督管理部门组织审查。新建矿山的安全设施和职业危害防治设施，必须与主体工程同时设计、同时施工、同时投入生产和使用。</w:t>
      </w:r>
    </w:p>
    <w:p>
      <w:pPr>
        <w:tabs>
          <w:tab w:val="left" w:pos="720"/>
        </w:tabs>
        <w:ind w:firstLine="640"/>
        <w:rPr>
          <w:rStyle w:val="10"/>
          <w:rFonts w:hAnsi="宋体" w:eastAsia="仿宋_GB2312" w:cs="Calibri"/>
          <w:bCs/>
          <w:sz w:val="32"/>
          <w:szCs w:val="28"/>
        </w:rPr>
      </w:pPr>
    </w:p>
    <w:p>
      <w:pPr>
        <w:pStyle w:val="12"/>
        <w:rPr>
          <w:rStyle w:val="10"/>
        </w:rPr>
      </w:pPr>
    </w:p>
    <w:p>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第六章  绿色矿山建设与矿山地质环境治理</w:t>
      </w:r>
    </w:p>
    <w:p>
      <w:pPr>
        <w:pStyle w:val="14"/>
        <w:spacing w:before="312" w:beforeAutospacing="1" w:after="312" w:afterAutospacing="1" w:line="960" w:lineRule="exact"/>
        <w:jc w:val="center"/>
        <w:outlineLvl w:val="1"/>
        <w:rPr>
          <w:rStyle w:val="10"/>
          <w:rFonts w:ascii="宋体" w:hAnsi="宋体" w:eastAsia="仿宋_GB2312"/>
        </w:rPr>
      </w:pPr>
      <w:r>
        <w:rPr>
          <w:rStyle w:val="10"/>
          <w:rFonts w:ascii="宋体" w:hAnsi="宋体" w:eastAsia="仿宋_GB2312"/>
        </w:rPr>
        <w:t>第一节  全面推进绿色矿山建设</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一、严格新建矿山准入标准</w:t>
      </w:r>
    </w:p>
    <w:p>
      <w:pPr>
        <w:spacing w:line="360" w:lineRule="auto"/>
        <w:ind w:firstLine="640" w:firstLineChars="200"/>
        <w:rPr>
          <w:rStyle w:val="10"/>
          <w:rFonts w:eastAsia="仿宋_GB2312"/>
          <w:sz w:val="32"/>
          <w:szCs w:val="28"/>
        </w:rPr>
      </w:pPr>
      <w:r>
        <w:rPr>
          <w:rStyle w:val="10"/>
          <w:rFonts w:eastAsia="仿宋_GB2312"/>
          <w:sz w:val="32"/>
          <w:szCs w:val="28"/>
        </w:rPr>
        <w:t>新设立矿山执行绿色矿山建设标准，推动新建矿山按照绿色矿山标准进行规划、设计、建设和运营管理。新立采矿权出让过程中，对照绿色矿山建设要求和相关标准，在出让合同中明确开发方式、资源利用、矿山地质环境恢复治理与土地复垦等相关要求及违约责任。对未履行采矿权出让合同中绿色矿山建设任务的，按规定追究违约责任。</w:t>
      </w:r>
    </w:p>
    <w:p>
      <w:pPr>
        <w:pStyle w:val="15"/>
        <w:numPr>
          <w:ilvl w:val="0"/>
          <w:numId w:val="1"/>
        </w:numPr>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推进在期矿山达标建设</w:t>
      </w:r>
    </w:p>
    <w:p>
      <w:pPr>
        <w:spacing w:line="360" w:lineRule="auto"/>
        <w:ind w:firstLine="640" w:firstLineChars="200"/>
        <w:rPr>
          <w:rStyle w:val="10"/>
          <w:rFonts w:ascii="Times New Roman" w:hAnsi="Times New Roman" w:eastAsia="仿宋_GB2312"/>
          <w:sz w:val="32"/>
          <w:szCs w:val="28"/>
        </w:rPr>
      </w:pPr>
      <w:r>
        <w:rPr>
          <w:rStyle w:val="10"/>
          <w:rFonts w:eastAsia="仿宋_GB2312"/>
          <w:sz w:val="32"/>
          <w:szCs w:val="28"/>
        </w:rPr>
        <w:t>认真做好绿色矿山建设工作的总结、宣传和推广，利用已建成绿色矿山的经验和做法，积极引导管理创新能力相对较强的矿山进行绿色矿山建设</w:t>
      </w:r>
      <w:r>
        <w:rPr>
          <w:rStyle w:val="10"/>
          <w:rFonts w:ascii="Times New Roman" w:hAnsi="Times New Roman" w:eastAsia="仿宋_GB2312"/>
          <w:sz w:val="32"/>
          <w:szCs w:val="28"/>
        </w:rPr>
        <w:t>，以点带面、循序渐进，有序推进全市在期矿山的绿色矿山建设工作，力争在规划期内将胜利西二号露天煤矿、伊利勒特嘎查采石场等6个矿山建成绿色矿山。露天煤矿绿色矿山建设要求地面运煤系统、运输设备、煤炭贮存场所等做到全封闭；矿区生产生活形成的固体废弃物应设置专用堆积场所；煤炭开发应遵循矿区煤炭资源赋存状况、生态环境特征等条件，因地制宜选择资源利用率高、废物产生量小、水重复利用率高，且对矿区生态破坏小的减排保护开采技术。建筑用砂石矿绿色矿山建设要求矿山在生产过程中采取有效抑尘、降噪措施；矿山开采面、作业平台应干净整洁，规范美观；资源开发采用先进的工艺技术与装备，做到绿色开采、绿色生产、绿色存贮、绿色运输。各类绿色矿山建设均应贯彻“边开采、边治理、边恢复”的原则，及时治理恢复矿山地质环境，复垦矿山占用土地和损毁土地。</w:t>
      </w:r>
    </w:p>
    <w:p>
      <w:pPr>
        <w:spacing w:line="360" w:lineRule="auto"/>
        <w:ind w:firstLine="562" w:firstLineChars="200"/>
        <w:jc w:val="center"/>
        <w:outlineLvl w:val="3"/>
        <w:rPr>
          <w:rStyle w:val="10"/>
          <w:rFonts w:ascii="仿宋_GB2312" w:hAnsi="宋体" w:eastAsia="仿宋_GB2312"/>
          <w:b/>
          <w:sz w:val="28"/>
          <w:szCs w:val="28"/>
        </w:rPr>
      </w:pPr>
      <w:r>
        <w:rPr>
          <w:rStyle w:val="10"/>
          <w:rFonts w:ascii="仿宋_GB2312" w:hAnsi="宋体" w:eastAsia="仿宋_GB2312"/>
          <w:b/>
          <w:sz w:val="28"/>
          <w:szCs w:val="28"/>
        </w:rPr>
        <w:t>专栏9  拟建成绿色矿山一览表</w:t>
      </w:r>
    </w:p>
    <w:tbl>
      <w:tblPr>
        <w:tblStyle w:val="7"/>
        <w:tblW w:w="8476" w:type="dxa"/>
        <w:jc w:val="center"/>
        <w:tblLayout w:type="autofit"/>
        <w:tblCellMar>
          <w:top w:w="0" w:type="dxa"/>
          <w:left w:w="0" w:type="dxa"/>
          <w:bottom w:w="0" w:type="dxa"/>
          <w:right w:w="0" w:type="dxa"/>
        </w:tblCellMar>
      </w:tblPr>
      <w:tblGrid>
        <w:gridCol w:w="682"/>
        <w:gridCol w:w="5129"/>
        <w:gridCol w:w="1537"/>
        <w:gridCol w:w="1128"/>
      </w:tblGrid>
      <w:tr>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序号</w:t>
            </w:r>
          </w:p>
        </w:tc>
        <w:tc>
          <w:tcPr>
            <w:tcW w:w="5129"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矿山名称</w:t>
            </w:r>
          </w:p>
        </w:tc>
        <w:tc>
          <w:tcPr>
            <w:tcW w:w="15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矿种</w:t>
            </w:r>
          </w:p>
        </w:tc>
        <w:tc>
          <w:tcPr>
            <w:tcW w:w="11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Style w:val="10"/>
                <w:rFonts w:ascii="仿宋_GB2312" w:hAnsi="宋体" w:eastAsia="仿宋_GB2312"/>
                <w:b/>
                <w:color w:val="000000"/>
                <w:sz w:val="24"/>
              </w:rPr>
            </w:pPr>
            <w:r>
              <w:rPr>
                <w:rStyle w:val="10"/>
                <w:rFonts w:ascii="仿宋_GB2312" w:hAnsi="宋体" w:eastAsia="仿宋_GB2312"/>
                <w:b/>
                <w:color w:val="000000"/>
                <w:sz w:val="24"/>
              </w:rPr>
              <w:t>生产状态</w:t>
            </w:r>
          </w:p>
        </w:tc>
      </w:tr>
      <w:tr>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1</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0"/>
                <w:rFonts w:ascii="仿宋_GB2312" w:eastAsia="仿宋_GB2312"/>
                <w:sz w:val="24"/>
              </w:rPr>
            </w:pPr>
            <w:r>
              <w:rPr>
                <w:rStyle w:val="10"/>
                <w:rFonts w:ascii="仿宋_GB2312" w:eastAsia="仿宋_GB2312"/>
                <w:sz w:val="24"/>
              </w:rPr>
              <w:t>内蒙古胜利矿区胜利西二号露天煤矿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0"/>
                <w:rFonts w:ascii="仿宋_GB2312" w:eastAsia="仿宋_GB2312"/>
                <w:sz w:val="24"/>
              </w:rPr>
            </w:pPr>
            <w:r>
              <w:rPr>
                <w:rStyle w:val="10"/>
                <w:rFonts w:ascii="仿宋_GB2312" w:eastAsia="仿宋_GB2312"/>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color w:val="000000"/>
                <w:kern w:val="0"/>
                <w:sz w:val="24"/>
              </w:rPr>
            </w:pPr>
            <w:r>
              <w:rPr>
                <w:rStyle w:val="10"/>
                <w:rFonts w:ascii="仿宋_GB2312" w:eastAsia="仿宋_GB2312"/>
                <w:color w:val="000000"/>
                <w:sz w:val="24"/>
              </w:rPr>
              <w:t>生产</w:t>
            </w:r>
          </w:p>
        </w:tc>
      </w:tr>
      <w:tr>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2</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Style w:val="10"/>
                <w:rFonts w:ascii="仿宋_GB2312" w:eastAsia="仿宋_GB2312"/>
                <w:color w:val="000000"/>
                <w:kern w:val="0"/>
                <w:sz w:val="24"/>
              </w:rPr>
            </w:pPr>
            <w:r>
              <w:rPr>
                <w:rStyle w:val="10"/>
                <w:rFonts w:ascii="仿宋_GB2312" w:eastAsia="仿宋_GB2312"/>
                <w:color w:val="000000"/>
                <w:sz w:val="24"/>
              </w:rPr>
              <w:t>大唐国际发电股份有限公司胜利东二号露天煤矿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0"/>
                <w:rFonts w:ascii="仿宋_GB2312" w:eastAsia="仿宋_GB2312"/>
                <w:color w:val="000000"/>
                <w:sz w:val="24"/>
              </w:rPr>
            </w:pPr>
            <w:r>
              <w:rPr>
                <w:rStyle w:val="10"/>
                <w:rFonts w:ascii="仿宋_GB2312" w:eastAsia="仿宋_GB2312"/>
                <w:color w:val="000000"/>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color w:val="000000"/>
                <w:sz w:val="24"/>
              </w:rPr>
            </w:pPr>
            <w:r>
              <w:rPr>
                <w:rStyle w:val="10"/>
                <w:rFonts w:ascii="仿宋_GB2312" w:eastAsia="仿宋_GB2312"/>
                <w:color w:val="000000"/>
                <w:sz w:val="24"/>
              </w:rPr>
              <w:t>停产</w:t>
            </w:r>
          </w:p>
        </w:tc>
      </w:tr>
      <w:tr>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3</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0"/>
                <w:rFonts w:ascii="仿宋_GB2312" w:eastAsia="仿宋_GB2312"/>
                <w:sz w:val="24"/>
              </w:rPr>
            </w:pPr>
            <w:r>
              <w:rPr>
                <w:rStyle w:val="10"/>
                <w:rFonts w:ascii="仿宋_GB2312" w:eastAsia="仿宋_GB2312"/>
                <w:sz w:val="24"/>
              </w:rPr>
              <w:t>内蒙古能源发电投资集团有限公司胜利西三号露天煤矿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0"/>
                <w:rFonts w:ascii="仿宋_GB2312" w:eastAsia="仿宋_GB2312"/>
                <w:sz w:val="24"/>
              </w:rPr>
            </w:pPr>
            <w:r>
              <w:rPr>
                <w:rStyle w:val="10"/>
                <w:rFonts w:ascii="仿宋_GB2312" w:eastAsia="仿宋_GB2312"/>
                <w:sz w:val="24"/>
              </w:rPr>
              <w:t>煤</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color w:val="000000"/>
                <w:sz w:val="24"/>
              </w:rPr>
            </w:pPr>
            <w:r>
              <w:rPr>
                <w:rStyle w:val="10"/>
                <w:rFonts w:ascii="仿宋_GB2312" w:eastAsia="仿宋_GB2312"/>
                <w:color w:val="000000"/>
                <w:sz w:val="24"/>
              </w:rPr>
              <w:t>生产</w:t>
            </w:r>
          </w:p>
        </w:tc>
      </w:tr>
      <w:tr>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4</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0"/>
                <w:rFonts w:ascii="仿宋_GB2312" w:eastAsia="仿宋_GB2312"/>
                <w:sz w:val="24"/>
              </w:rPr>
            </w:pPr>
            <w:r>
              <w:rPr>
                <w:rStyle w:val="10"/>
                <w:rFonts w:ascii="仿宋_GB2312" w:eastAsia="仿宋_GB2312"/>
                <w:sz w:val="24"/>
              </w:rPr>
              <w:t>锡林郭勒盟乌兰图嘎煤炭有限责任公司锗矿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0"/>
                <w:rFonts w:ascii="仿宋_GB2312" w:eastAsia="仿宋_GB2312"/>
                <w:sz w:val="24"/>
              </w:rPr>
            </w:pPr>
            <w:r>
              <w:rPr>
                <w:rStyle w:val="10"/>
                <w:rFonts w:ascii="仿宋_GB2312" w:eastAsia="仿宋_GB2312"/>
                <w:sz w:val="24"/>
              </w:rPr>
              <w:t>锗矿</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color w:val="000000"/>
                <w:sz w:val="24"/>
              </w:rPr>
            </w:pPr>
            <w:r>
              <w:rPr>
                <w:rStyle w:val="10"/>
                <w:rFonts w:ascii="仿宋_GB2312" w:eastAsia="仿宋_GB2312"/>
                <w:color w:val="000000"/>
                <w:sz w:val="24"/>
              </w:rPr>
              <w:t>生产</w:t>
            </w:r>
          </w:p>
        </w:tc>
      </w:tr>
      <w:tr>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5</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0"/>
                <w:rFonts w:ascii="仿宋_GB2312" w:eastAsia="仿宋_GB2312"/>
                <w:sz w:val="24"/>
              </w:rPr>
            </w:pPr>
            <w:r>
              <w:rPr>
                <w:rStyle w:val="10"/>
                <w:rFonts w:ascii="仿宋_GB2312" w:eastAsia="仿宋_GB2312"/>
                <w:sz w:val="24"/>
              </w:rPr>
              <w:t>锡林浩特市伊利勒特嘎查采石场</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0"/>
                <w:rFonts w:ascii="仿宋_GB2312" w:eastAsia="仿宋_GB2312"/>
                <w:sz w:val="24"/>
              </w:rPr>
            </w:pPr>
            <w:r>
              <w:rPr>
                <w:rStyle w:val="10"/>
                <w:rFonts w:ascii="仿宋_GB2312" w:eastAsia="仿宋_GB2312"/>
                <w:sz w:val="24"/>
              </w:rPr>
              <w:t>建筑用安山岩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color w:val="000000"/>
                <w:sz w:val="24"/>
              </w:rPr>
            </w:pPr>
            <w:r>
              <w:rPr>
                <w:rStyle w:val="10"/>
                <w:rFonts w:ascii="仿宋_GB2312" w:eastAsia="仿宋_GB2312"/>
                <w:color w:val="000000"/>
                <w:sz w:val="24"/>
              </w:rPr>
              <w:t>生产</w:t>
            </w:r>
          </w:p>
        </w:tc>
      </w:tr>
      <w:tr>
        <w:tblPrEx>
          <w:tblCellMar>
            <w:top w:w="0" w:type="dxa"/>
            <w:left w:w="0" w:type="dxa"/>
            <w:bottom w:w="0" w:type="dxa"/>
            <w:right w:w="0" w:type="dxa"/>
          </w:tblCellMar>
        </w:tblPrEx>
        <w:trPr>
          <w:trHeight w:val="425" w:hRule="atLeast"/>
          <w:jc w:val="center"/>
        </w:trPr>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Style w:val="10"/>
                <w:rFonts w:ascii="仿宋_GB2312" w:hAnsi="宋体" w:eastAsia="仿宋_GB2312"/>
                <w:color w:val="000000"/>
                <w:sz w:val="24"/>
              </w:rPr>
            </w:pPr>
            <w:r>
              <w:rPr>
                <w:rStyle w:val="10"/>
                <w:rFonts w:ascii="仿宋_GB2312" w:hAnsi="宋体" w:eastAsia="仿宋_GB2312"/>
                <w:color w:val="000000"/>
                <w:kern w:val="0"/>
                <w:sz w:val="24"/>
              </w:rPr>
              <w:t>6</w:t>
            </w:r>
          </w:p>
        </w:tc>
        <w:tc>
          <w:tcPr>
            <w:tcW w:w="51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Style w:val="10"/>
                <w:rFonts w:ascii="仿宋_GB2312" w:eastAsia="仿宋_GB2312"/>
                <w:sz w:val="24"/>
              </w:rPr>
            </w:pPr>
            <w:r>
              <w:rPr>
                <w:rStyle w:val="10"/>
                <w:rFonts w:ascii="仿宋_GB2312" w:eastAsia="仿宋_GB2312"/>
                <w:sz w:val="24"/>
              </w:rPr>
              <w:t>锡林浩特市百锐工贸有限公司锡林浩特市乌力吉德力格尔嘎查建筑用石料矿</w:t>
            </w:r>
          </w:p>
        </w:tc>
        <w:tc>
          <w:tcPr>
            <w:tcW w:w="15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Style w:val="10"/>
                <w:rFonts w:ascii="仿宋_GB2312" w:eastAsia="仿宋_GB2312"/>
                <w:sz w:val="24"/>
              </w:rPr>
            </w:pPr>
            <w:r>
              <w:rPr>
                <w:rStyle w:val="10"/>
                <w:rFonts w:ascii="仿宋_GB2312" w:eastAsia="仿宋_GB2312"/>
                <w:sz w:val="24"/>
              </w:rPr>
              <w:t>建筑用砂岩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color w:val="000000"/>
                <w:sz w:val="24"/>
              </w:rPr>
            </w:pPr>
            <w:r>
              <w:rPr>
                <w:rStyle w:val="10"/>
                <w:rFonts w:ascii="仿宋_GB2312" w:eastAsia="仿宋_GB2312"/>
                <w:color w:val="000000"/>
                <w:sz w:val="24"/>
              </w:rPr>
              <w:t>筹建</w:t>
            </w:r>
          </w:p>
        </w:tc>
      </w:tr>
    </w:tbl>
    <w:p>
      <w:pPr>
        <w:spacing w:line="240" w:lineRule="atLeast"/>
        <w:ind w:firstLine="640" w:firstLineChars="200"/>
        <w:rPr>
          <w:rStyle w:val="10"/>
          <w:rFonts w:ascii="宋体" w:hAnsi="宋体" w:eastAsia="仿宋_GB2312" w:cs="Calibri"/>
          <w:bCs/>
          <w:sz w:val="32"/>
          <w:szCs w:val="28"/>
        </w:rPr>
      </w:pPr>
    </w:p>
    <w:p>
      <w:pPr>
        <w:pStyle w:val="15"/>
        <w:spacing w:before="156" w:after="156" w:line="640" w:lineRule="exact"/>
        <w:ind w:firstLine="640" w:firstLineChars="200"/>
        <w:outlineLvl w:val="2"/>
        <w:rPr>
          <w:rStyle w:val="10"/>
          <w:rFonts w:ascii="黑体" w:eastAsia="黑体"/>
          <w:b w:val="0"/>
          <w:szCs w:val="28"/>
        </w:rPr>
      </w:pPr>
      <w:r>
        <w:rPr>
          <w:rStyle w:val="10"/>
          <w:rFonts w:ascii="黑体" w:eastAsia="黑体"/>
          <w:b w:val="0"/>
          <w:szCs w:val="28"/>
        </w:rPr>
        <w:t>三、加强绿色矿山建设管理</w:t>
      </w:r>
    </w:p>
    <w:p>
      <w:pPr>
        <w:spacing w:line="360" w:lineRule="auto"/>
        <w:ind w:firstLine="640" w:firstLineChars="200"/>
        <w:rPr>
          <w:rStyle w:val="10"/>
          <w:rFonts w:eastAsia="仿宋_GB2312"/>
          <w:sz w:val="32"/>
          <w:szCs w:val="28"/>
        </w:rPr>
      </w:pPr>
      <w:r>
        <w:rPr>
          <w:rStyle w:val="10"/>
          <w:rFonts w:eastAsia="仿宋_GB2312"/>
          <w:sz w:val="32"/>
          <w:szCs w:val="28"/>
        </w:rPr>
        <w:t>研究建立政府主导、部门协同、市县联创、企业主建、第三方评估、社会监督的绿色矿山建设工作体系，推进</w:t>
      </w:r>
      <w:r>
        <w:rPr>
          <w:rStyle w:val="10"/>
          <w:rFonts w:eastAsia="仿宋_GB2312" w:cs="Calibri"/>
          <w:bCs/>
          <w:sz w:val="32"/>
          <w:szCs w:val="28"/>
        </w:rPr>
        <w:t>《锡林浩特市绿色矿山建设工作方案》各项任务实施</w:t>
      </w:r>
      <w:r>
        <w:rPr>
          <w:rStyle w:val="10"/>
          <w:rFonts w:eastAsia="仿宋_GB2312"/>
          <w:sz w:val="32"/>
          <w:szCs w:val="28"/>
        </w:rPr>
        <w:t>。落实国家和自治区两级绿色矿山标准体系制度，实行第三方评估制度和绿色矿山名录管理制度，按照“</w:t>
      </w:r>
      <w:r>
        <w:rPr>
          <w:rStyle w:val="10"/>
          <w:rFonts w:hint="eastAsia" w:eastAsia="仿宋_GB2312"/>
          <w:sz w:val="32"/>
          <w:szCs w:val="28"/>
          <w:lang w:eastAsia="zh-CN"/>
        </w:rPr>
        <w:t>双随机、一公开</w:t>
      </w:r>
      <w:r>
        <w:rPr>
          <w:rStyle w:val="10"/>
          <w:rFonts w:eastAsia="仿宋_GB2312"/>
          <w:sz w:val="32"/>
          <w:szCs w:val="28"/>
        </w:rPr>
        <w:t>”的方式对已纳入绿色矿山名录的矿山企业进行监督检查，</w:t>
      </w:r>
      <w:r>
        <w:rPr>
          <w:rStyle w:val="10"/>
          <w:rFonts w:ascii="仿宋_GB2312" w:eastAsia="仿宋_GB2312" w:cs="Calibri"/>
          <w:bCs/>
          <w:color w:val="000000"/>
          <w:kern w:val="0"/>
          <w:sz w:val="32"/>
          <w:szCs w:val="32"/>
        </w:rPr>
        <w:t>确定抽查对象，抽查比例不低于20％</w:t>
      </w:r>
      <w:r>
        <w:rPr>
          <w:rStyle w:val="10"/>
          <w:rFonts w:eastAsia="仿宋_GB2312"/>
          <w:sz w:val="32"/>
          <w:szCs w:val="28"/>
        </w:rPr>
        <w:t>。</w:t>
      </w:r>
    </w:p>
    <w:p>
      <w:pPr>
        <w:pStyle w:val="15"/>
        <w:spacing w:before="0" w:after="156" w:line="640" w:lineRule="exact"/>
        <w:ind w:firstLine="640" w:firstLineChars="200"/>
        <w:outlineLvl w:val="2"/>
        <w:rPr>
          <w:rStyle w:val="10"/>
          <w:rFonts w:ascii="黑体" w:eastAsia="黑体"/>
          <w:b w:val="0"/>
          <w:szCs w:val="28"/>
        </w:rPr>
      </w:pPr>
      <w:r>
        <w:rPr>
          <w:rStyle w:val="10"/>
          <w:rFonts w:ascii="黑体" w:eastAsia="黑体"/>
          <w:b w:val="0"/>
          <w:szCs w:val="28"/>
        </w:rPr>
        <w:t>四、支持政策和有关措施</w:t>
      </w:r>
    </w:p>
    <w:p>
      <w:pPr>
        <w:spacing w:line="360" w:lineRule="auto"/>
        <w:ind w:firstLine="640" w:firstLineChars="200"/>
        <w:rPr>
          <w:rStyle w:val="10"/>
          <w:rFonts w:eastAsia="仿宋_GB2312" w:cs="Calibri"/>
          <w:bCs/>
          <w:sz w:val="32"/>
          <w:szCs w:val="28"/>
        </w:rPr>
      </w:pPr>
      <w:r>
        <w:rPr>
          <w:rStyle w:val="10"/>
          <w:rFonts w:eastAsia="仿宋_GB2312" w:cs="Calibri"/>
          <w:bCs/>
          <w:sz w:val="32"/>
          <w:szCs w:val="28"/>
        </w:rPr>
        <w:t>加强政策支持力度，积极协调相关部门，充分运用经济、行政等手段，在资源配置、矿政管理、财政资金、税收等方面向开展绿色矿山建设的企业适度倾斜。加强政策约束和引导，鼓励矿山企业加大科技投入，加强矿山技术改造，同时按照负面清单要求，淘汰落后技术和产能。</w:t>
      </w:r>
    </w:p>
    <w:p>
      <w:pPr>
        <w:pStyle w:val="14"/>
        <w:spacing w:before="312" w:beforeAutospacing="1" w:after="312" w:afterAutospacing="1" w:line="960" w:lineRule="exact"/>
        <w:jc w:val="center"/>
        <w:outlineLvl w:val="1"/>
        <w:rPr>
          <w:rStyle w:val="10"/>
          <w:rFonts w:ascii="宋体" w:hAnsi="宋体" w:eastAsia="仿宋_GB2312"/>
          <w:highlight w:val="yellow"/>
        </w:rPr>
      </w:pPr>
      <w:r>
        <w:rPr>
          <w:rStyle w:val="10"/>
          <w:rFonts w:ascii="宋体" w:hAnsi="宋体" w:eastAsia="仿宋_GB2312"/>
        </w:rPr>
        <w:t>第二节  着力加强矿山地质环境治理</w:t>
      </w:r>
    </w:p>
    <w:p>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一、新建（在建）矿山地质环境保护</w:t>
      </w:r>
    </w:p>
    <w:p>
      <w:pPr>
        <w:spacing w:line="360" w:lineRule="auto"/>
        <w:ind w:firstLine="614" w:firstLineChars="192"/>
        <w:rPr>
          <w:rStyle w:val="10"/>
          <w:rFonts w:eastAsia="仿宋_GB2312"/>
          <w:sz w:val="32"/>
          <w:szCs w:val="28"/>
        </w:rPr>
      </w:pPr>
      <w:r>
        <w:rPr>
          <w:rStyle w:val="10"/>
          <w:rFonts w:eastAsia="仿宋_GB2312"/>
          <w:sz w:val="32"/>
          <w:szCs w:val="28"/>
        </w:rPr>
        <w:t>加强新建矿山准入管理，坚持矿产资源开发利用与矿山地质环境保护并重的原则，严格执行矿山地质环境准入制度。全面实行矿山地质环境保护与治理恢复方案、矿产资源开发利用方案同步编制、同步审查、同步实施的制度和社会公示制度。根据自治区矿山地质环境治理有关规定，严格执行矿山地质环境治理恢复基金制度，明确矿山地质环境保护与治理恢复责任主体。</w:t>
      </w:r>
    </w:p>
    <w:p>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二、生产矿山地质环境保护与治理恢复</w:t>
      </w:r>
    </w:p>
    <w:p>
      <w:pPr>
        <w:spacing w:line="360" w:lineRule="auto"/>
        <w:ind w:firstLine="614" w:firstLineChars="192"/>
        <w:rPr>
          <w:rStyle w:val="10"/>
          <w:rFonts w:ascii="仿宋_GB2312" w:eastAsia="仿宋_GB2312" w:cs="Calibri"/>
          <w:bCs/>
          <w:color w:val="000000"/>
          <w:kern w:val="0"/>
          <w:sz w:val="32"/>
          <w:szCs w:val="32"/>
        </w:rPr>
      </w:pPr>
      <w:r>
        <w:rPr>
          <w:rStyle w:val="10"/>
          <w:rFonts w:eastAsia="仿宋_GB2312"/>
          <w:sz w:val="32"/>
          <w:szCs w:val="28"/>
        </w:rPr>
        <w:t>加强生产矿山地质环境监测，计提矿山地质环境治理恢复基金，按照矿山地质环境保护与土地复垦方案和年度治理计划书，做到“边开采、边治理、边恢复”，切实提高矿山地质环境治理成效。以胜利矿区为试点，开展矿区环境综合治理，统筹考虑胜利矿区地理位置和资源禀赋，编制《胜利矿区环境综合治理实施方案》，对胜利矿区五大露天煤矿生态环境统一治理标准，联合开展治理，</w:t>
      </w:r>
      <w:r>
        <w:rPr>
          <w:rStyle w:val="10"/>
          <w:rFonts w:ascii="仿宋_GB2312" w:eastAsia="仿宋_GB2312" w:cs="Calibri"/>
          <w:bCs/>
          <w:color w:val="000000"/>
          <w:kern w:val="0"/>
          <w:sz w:val="32"/>
          <w:szCs w:val="32"/>
        </w:rPr>
        <w:t>并逐步其它矿区纳入综合治理范围，实现矿业绿色高质量发展。</w:t>
      </w:r>
    </w:p>
    <w:p>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三、停产矿山地质环境保护与治理恢复</w:t>
      </w:r>
    </w:p>
    <w:p>
      <w:pPr>
        <w:pStyle w:val="12"/>
        <w:ind w:firstLine="640" w:firstLineChars="200"/>
        <w:jc w:val="left"/>
        <w:rPr>
          <w:rStyle w:val="10"/>
          <w:rFonts w:eastAsia="仿宋_GB2312"/>
          <w:sz w:val="32"/>
          <w:szCs w:val="28"/>
        </w:rPr>
      </w:pPr>
      <w:r>
        <w:rPr>
          <w:rStyle w:val="10"/>
          <w:rFonts w:eastAsia="仿宋_GB2312"/>
          <w:sz w:val="32"/>
          <w:szCs w:val="28"/>
        </w:rPr>
        <w:t>督促停产矿山全面履行矿山地质环境保护与恢复治理和矿山土地复垦义务，在加快矿山整改尽早恢复生产的同时，按照“停产不停治”的原则，确保矿山地质环境治理恢复资金投入，在规定限期内完成矿山地质环境治理任务。</w:t>
      </w:r>
    </w:p>
    <w:p>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四、闭坑矿山地质环境保护与治理恢复</w:t>
      </w:r>
    </w:p>
    <w:p>
      <w:pPr>
        <w:spacing w:line="360" w:lineRule="auto"/>
        <w:ind w:firstLine="614" w:firstLineChars="192"/>
        <w:rPr>
          <w:rStyle w:val="10"/>
          <w:rFonts w:eastAsia="仿宋_GB2312"/>
          <w:sz w:val="32"/>
          <w:szCs w:val="28"/>
        </w:rPr>
      </w:pPr>
      <w:r>
        <w:rPr>
          <w:rStyle w:val="10"/>
          <w:rFonts w:eastAsia="仿宋_GB2312"/>
          <w:sz w:val="32"/>
          <w:szCs w:val="28"/>
        </w:rPr>
        <w:t>建立并完善闭坑矿山审批制度，明确矿山闭坑的地质环境达标条件。矿山闭坑前，采矿权人利用矿山地质环境治理恢复基金完成地质环境治理恢复与土地复垦任务，并由自然资源行政管理部门会同相关部门，对矿山地质环境治理工程进行验收合格后，方可批准闭坑。</w:t>
      </w:r>
    </w:p>
    <w:p>
      <w:pPr>
        <w:pStyle w:val="15"/>
        <w:spacing w:before="0" w:after="156" w:line="640" w:lineRule="exact"/>
        <w:ind w:firstLine="643" w:firstLineChars="200"/>
        <w:outlineLvl w:val="2"/>
        <w:rPr>
          <w:rStyle w:val="10"/>
          <w:rFonts w:ascii="黑体" w:hAnsi="Times New Roman" w:eastAsia="黑体" w:cs="Times New Roman"/>
          <w:szCs w:val="28"/>
        </w:rPr>
      </w:pPr>
      <w:r>
        <w:rPr>
          <w:rStyle w:val="10"/>
          <w:rFonts w:ascii="黑体" w:hAnsi="Times New Roman" w:eastAsia="黑体" w:cs="Times New Roman"/>
          <w:szCs w:val="28"/>
        </w:rPr>
        <w:t>五、强化矿山地质环境治理恢复监督管理</w:t>
      </w:r>
    </w:p>
    <w:p>
      <w:pPr>
        <w:spacing w:line="360" w:lineRule="auto"/>
        <w:ind w:firstLine="614" w:firstLineChars="192"/>
        <w:rPr>
          <w:rStyle w:val="10"/>
          <w:rFonts w:eastAsia="仿宋_GB2312"/>
          <w:sz w:val="32"/>
          <w:szCs w:val="28"/>
        </w:rPr>
      </w:pPr>
      <w:r>
        <w:rPr>
          <w:rStyle w:val="10"/>
          <w:rFonts w:ascii="仿宋_GB2312" w:eastAsia="仿宋_GB2312" w:cs="Calibri"/>
          <w:bCs/>
          <w:kern w:val="0"/>
          <w:sz w:val="32"/>
          <w:szCs w:val="32"/>
        </w:rPr>
        <w:t>自然资源主管部门会同财政、生态环境等相关部门建立矿山地质环境治理恢复基金监督机制，加强对企业矿山地质环境恢复治理的监督检查。矿山地质环境恢复治理管理按照“双随机、一公开”方式，由自然资源主管部门组织专家对随机抽中的矿山企业，开展实地检查，检查结果向社会公告。加强对矿山地质环境治理恢复基金建立、计提、使用情况的监督。对于未按要求履行治理修复义务的矿山企业，责令限期整改，并列入矿业权人勘查开采信息系统异常名录或严重违法失信名单。对于逾期不整改或整改不到位的，不受理其新的探矿权、采矿权申请。</w:t>
      </w:r>
    </w:p>
    <w:p>
      <w:pPr>
        <w:pStyle w:val="13"/>
        <w:spacing w:before="312" w:beforeAutospacing="1" w:after="312" w:afterAutospacing="1" w:line="1280" w:lineRule="exact"/>
        <w:jc w:val="center"/>
        <w:rPr>
          <w:rStyle w:val="10"/>
          <w:rFonts w:ascii="黑体" w:hAnsi="仿宋_GB2312" w:eastAsia="黑体"/>
          <w:sz w:val="32"/>
          <w:szCs w:val="32"/>
        </w:rPr>
        <w:sectPr>
          <w:pgSz w:w="11906" w:h="16838"/>
          <w:pgMar w:top="1440" w:right="1800" w:bottom="1440" w:left="1800" w:header="851" w:footer="992" w:gutter="0"/>
          <w:cols w:space="425" w:num="1"/>
          <w:docGrid w:type="lines" w:linePitch="312" w:charSpace="0"/>
        </w:sectPr>
      </w:pPr>
    </w:p>
    <w:p>
      <w:pPr>
        <w:pStyle w:val="13"/>
        <w:spacing w:before="312" w:beforeAutospacing="1" w:after="312" w:afterAutospacing="1" w:line="1280" w:lineRule="exact"/>
        <w:jc w:val="center"/>
        <w:outlineLvl w:val="0"/>
        <w:rPr>
          <w:rStyle w:val="10"/>
          <w:rFonts w:ascii="黑体" w:hAnsi="仿宋_GB2312" w:eastAsia="黑体"/>
          <w:sz w:val="32"/>
          <w:szCs w:val="32"/>
        </w:rPr>
      </w:pPr>
      <w:r>
        <w:rPr>
          <w:rStyle w:val="10"/>
          <w:rFonts w:ascii="黑体" w:hAnsi="仿宋_GB2312" w:eastAsia="黑体"/>
          <w:sz w:val="32"/>
          <w:szCs w:val="32"/>
        </w:rPr>
        <w:t>第七章  规划实施保障措施</w:t>
      </w:r>
    </w:p>
    <w:p>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一、加强组织领导</w:t>
      </w:r>
    </w:p>
    <w:p>
      <w:pPr>
        <w:spacing w:line="360" w:lineRule="auto"/>
        <w:ind w:firstLine="614" w:firstLineChars="192"/>
        <w:rPr>
          <w:rStyle w:val="10"/>
          <w:rFonts w:ascii="宋体" w:hAnsi="宋体" w:eastAsia="仿宋_GB2312"/>
          <w:sz w:val="32"/>
          <w:szCs w:val="28"/>
        </w:rPr>
      </w:pPr>
      <w:r>
        <w:rPr>
          <w:rStyle w:val="10"/>
          <w:rFonts w:ascii="宋体" w:hAnsi="宋体" w:eastAsia="仿宋_GB2312"/>
          <w:sz w:val="32"/>
          <w:szCs w:val="28"/>
        </w:rPr>
        <w:t>在市人民政府领导下，强化统筹管理，建立由市自然资源主管部门牵头，与发改、工信、财政、生态环境、林草、水利、应急管理等部门按照职能分工，加强协调配合，做好人才、资金、技术和政策保障，形成推动规划实施的合力，保障规划各项指标及目标任务落地落实。</w:t>
      </w:r>
    </w:p>
    <w:p>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二、强化规划实施目标责任考核</w:t>
      </w:r>
    </w:p>
    <w:p>
      <w:pPr>
        <w:ind w:firstLine="640" w:firstLineChars="200"/>
        <w:rPr>
          <w:rStyle w:val="10"/>
          <w:rFonts w:ascii="宋体" w:hAnsi="宋体" w:eastAsia="仿宋_GB2312"/>
          <w:sz w:val="32"/>
          <w:szCs w:val="28"/>
        </w:rPr>
      </w:pPr>
      <w:r>
        <w:rPr>
          <w:rStyle w:val="10"/>
          <w:rFonts w:ascii="宋体" w:hAnsi="宋体" w:eastAsia="仿宋_GB2312"/>
          <w:sz w:val="32"/>
          <w:szCs w:val="28"/>
        </w:rPr>
        <w:t>建立完善规划实施管理的领导责任制和目标考核制度，明确责任分工、考核目标、考核内容及考核办法，并纳入年度目标管理体系，作为对自然资源主管部门负责人业绩考核的依据。</w:t>
      </w:r>
    </w:p>
    <w:p>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三、做好规划实施评估调整</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逐步完善规划实施评估调整机制，做好规划实施情况的中期评估，总结和分析规划实施过程中存在的问题，根据矿产资源勘查与开发面临的新形势、新任务及管理的需要，研究矿产资源勘查、开发新问题、新形势，对规划进行及时调整和滚动修编，增强规划的科学性和可操作性。</w:t>
      </w:r>
    </w:p>
    <w:p>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四、加强规划实施情况监督检查</w:t>
      </w:r>
    </w:p>
    <w:p>
      <w:pPr>
        <w:spacing w:line="360" w:lineRule="auto"/>
        <w:ind w:firstLine="640" w:firstLineChars="200"/>
        <w:rPr>
          <w:rStyle w:val="10"/>
          <w:rFonts w:ascii="宋体" w:hAnsi="宋体" w:eastAsia="仿宋_GB2312"/>
          <w:sz w:val="32"/>
          <w:szCs w:val="28"/>
        </w:rPr>
      </w:pPr>
      <w:r>
        <w:rPr>
          <w:rStyle w:val="10"/>
          <w:rFonts w:ascii="宋体" w:hAnsi="宋体" w:eastAsia="仿宋_GB2312"/>
          <w:sz w:val="32"/>
          <w:szCs w:val="28"/>
        </w:rPr>
        <w:t>将规划实施情况纳入自然资源督察，不定期开展规划执行情况检查。完善规划实施的公众参与机制，加强社会舆论对规划实施的监督。对违反矿产资源规划进行勘查、开采的违法行为，一经发现要及时纠正，依法查处，情节严重的，要依法追究刑事责任。</w:t>
      </w:r>
    </w:p>
    <w:p>
      <w:pPr>
        <w:pStyle w:val="15"/>
        <w:spacing w:before="0" w:after="156" w:line="640" w:lineRule="exact"/>
        <w:ind w:firstLine="640" w:firstLineChars="200"/>
        <w:outlineLvl w:val="1"/>
        <w:rPr>
          <w:rStyle w:val="10"/>
          <w:rFonts w:ascii="黑体" w:eastAsia="黑体"/>
          <w:b w:val="0"/>
          <w:szCs w:val="28"/>
        </w:rPr>
      </w:pPr>
      <w:r>
        <w:rPr>
          <w:rStyle w:val="10"/>
          <w:rFonts w:ascii="黑体" w:eastAsia="黑体"/>
          <w:b w:val="0"/>
          <w:szCs w:val="28"/>
        </w:rPr>
        <w:t>五、提高规划管理信息化水平</w:t>
      </w:r>
    </w:p>
    <w:p>
      <w:pPr>
        <w:spacing w:line="360" w:lineRule="auto"/>
        <w:ind w:firstLine="614" w:firstLineChars="192"/>
        <w:rPr>
          <w:rStyle w:val="10"/>
          <w:rFonts w:ascii="宋体" w:hAnsi="宋体" w:eastAsia="仿宋_GB2312"/>
          <w:sz w:val="32"/>
          <w:szCs w:val="28"/>
        </w:rPr>
      </w:pPr>
      <w:r>
        <w:rPr>
          <w:rStyle w:val="10"/>
          <w:rFonts w:ascii="宋体" w:hAnsi="宋体" w:eastAsia="仿宋_GB2312"/>
          <w:sz w:val="32"/>
          <w:szCs w:val="28"/>
        </w:rPr>
        <w:t>编制规划完成后，建设标准统一的矿产资源规划数据库，将规划纳入自治区统一的矿产资源规划数据库中。同时，加强规划数据库与其他矿政管理数据库的互联互通，做好规划信息与相关信息资源的整合，实现数据交换与共享，为矿产资源规划成果管理、规划审查、辅助决策提供数据支持，切实发挥规划数据库在矿政管理中的作用。</w:t>
      </w:r>
    </w:p>
    <w:p>
      <w:pPr>
        <w:spacing w:line="360" w:lineRule="auto"/>
        <w:ind w:firstLine="614" w:firstLineChars="192"/>
        <w:rPr>
          <w:rStyle w:val="10"/>
          <w:rFonts w:ascii="宋体" w:hAnsi="宋体" w:eastAsia="仿宋_GB2312"/>
          <w:sz w:val="3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迷你简粗仿宋">
    <w:altName w:val="仿宋"/>
    <w:panose1 w:val="00000000000000000000"/>
    <w:charset w:val="86"/>
    <w:family w:val="auto"/>
    <w:pitch w:val="default"/>
    <w:sig w:usb0="00000000" w:usb1="000000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Style w:val="10"/>
      </w:rPr>
    </w:pPr>
  </w:p>
  <w:p>
    <w:pPr>
      <w:pStyle w:val="5"/>
      <w:rPr>
        <w:rStyle w:val="10"/>
        <w:rFonts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35"/>
        <w:rFonts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22</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p>
    <w:pPr>
      <w:pStyle w:val="5"/>
      <w:rPr>
        <w:rStyle w:val="10"/>
        <w:rFonts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0"/>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5610D6"/>
    <w:multiLevelType w:val="singleLevel"/>
    <w:tmpl w:val="3A5610D6"/>
    <w:lvl w:ilvl="0" w:tentative="0">
      <w:start w:val="2"/>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MzdjNGYzOWM3MGU5YjIyNmM1NmU0OTI3MWMwNTQifQ=="/>
  </w:docVars>
  <w:rsids>
    <w:rsidRoot w:val="000F238A"/>
    <w:rsid w:val="000F238A"/>
    <w:rsid w:val="006653F0"/>
    <w:rsid w:val="00FF42D3"/>
    <w:rsid w:val="0BB849C9"/>
    <w:rsid w:val="13CC0DC6"/>
    <w:rsid w:val="280611D8"/>
    <w:rsid w:val="430932C1"/>
    <w:rsid w:val="4EDA3668"/>
    <w:rsid w:val="59226A60"/>
    <w:rsid w:val="6D302005"/>
    <w:rsid w:val="73983ED3"/>
    <w:rsid w:val="752B8469"/>
    <w:rsid w:val="7EBC22A3"/>
    <w:rsid w:val="DB7FE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qFormat/>
    <w:uiPriority w:val="0"/>
    <w:pPr>
      <w:widowControl w:val="0"/>
      <w:spacing w:line="800" w:lineRule="exact"/>
      <w:ind w:firstLine="964" w:firstLineChars="200"/>
      <w:jc w:val="both"/>
      <w:outlineLvl w:val="0"/>
    </w:pPr>
    <w:rPr>
      <w:rFonts w:ascii="Calibri Light" w:hAnsi="Calibri Light" w:eastAsia="迷你简粗仿宋" w:cs="宋体"/>
      <w:bCs/>
      <w:kern w:val="2"/>
      <w:sz w:val="40"/>
      <w:szCs w:val="32"/>
      <w:lang w:val="en-US" w:eastAsia="zh-CN" w:bidi="ar-SA"/>
    </w:rPr>
  </w:style>
  <w:style w:type="paragraph" w:styleId="3">
    <w:name w:val="Body Text Indent"/>
    <w:basedOn w:val="1"/>
    <w:semiHidden/>
    <w:unhideWhenUsed/>
    <w:qFormat/>
    <w:uiPriority w:val="99"/>
    <w:pPr>
      <w:spacing w:after="120"/>
      <w:ind w:left="420" w:leftChars="200"/>
    </w:pPr>
  </w:style>
  <w:style w:type="paragraph" w:styleId="4">
    <w:name w:val="Date"/>
    <w:basedOn w:val="1"/>
    <w:next w:val="1"/>
    <w:qFormat/>
    <w:uiPriority w:val="0"/>
    <w:pPr>
      <w:ind w:left="100" w:leftChars="2500"/>
    </w:pPr>
  </w:style>
  <w:style w:type="paragraph" w:styleId="5">
    <w:name w:val="footer"/>
    <w:basedOn w:val="1"/>
    <w:link w:val="28"/>
    <w:qFormat/>
    <w:uiPriority w:val="0"/>
    <w:pPr>
      <w:tabs>
        <w:tab w:val="center" w:pos="4153"/>
        <w:tab w:val="right" w:pos="8306"/>
      </w:tabs>
      <w:snapToGrid w:val="0"/>
      <w:jc w:val="left"/>
    </w:pPr>
    <w:rPr>
      <w:sz w:val="18"/>
      <w:szCs w:val="18"/>
    </w:rPr>
  </w:style>
  <w:style w:type="paragraph" w:styleId="6">
    <w:name w:val="header"/>
    <w:basedOn w:val="1"/>
    <w:link w:val="29"/>
    <w:qFormat/>
    <w:uiPriority w:val="0"/>
    <w:pPr>
      <w:pBdr>
        <w:bottom w:val="single" w:color="000000" w:sz="6" w:space="1"/>
      </w:pBdr>
      <w:tabs>
        <w:tab w:val="center" w:pos="4153"/>
        <w:tab w:val="right" w:pos="8306"/>
      </w:tabs>
      <w:snapToGrid w:val="0"/>
      <w:jc w:val="center"/>
    </w:pPr>
    <w:rPr>
      <w:sz w:val="18"/>
      <w:szCs w:val="18"/>
    </w:rPr>
  </w:style>
  <w:style w:type="character" w:styleId="9">
    <w:name w:val="Strong"/>
    <w:basedOn w:val="10"/>
    <w:qFormat/>
    <w:uiPriority w:val="0"/>
    <w:rPr>
      <w:b/>
    </w:rPr>
  </w:style>
  <w:style w:type="character" w:customStyle="1" w:styleId="10">
    <w:name w:val="NormalCharacter"/>
    <w:qFormat/>
    <w:uiPriority w:val="0"/>
  </w:style>
  <w:style w:type="character" w:styleId="11">
    <w:name w:val="Hyperlink"/>
    <w:qFormat/>
    <w:uiPriority w:val="0"/>
    <w:rPr>
      <w:color w:val="0000FF"/>
      <w:u w:val="single"/>
    </w:rPr>
  </w:style>
  <w:style w:type="paragraph" w:customStyle="1" w:styleId="12">
    <w:name w:val="UserStyle_0"/>
    <w:basedOn w:val="1"/>
    <w:qFormat/>
    <w:uiPriority w:val="0"/>
    <w:pPr>
      <w:jc w:val="center"/>
    </w:pPr>
    <w:rPr>
      <w:rFonts w:ascii="楷体_GB2312" w:hAnsi="楷体_GB2312" w:eastAsia="楷体_GB2312"/>
      <w:color w:val="000000"/>
      <w:kern w:val="0"/>
    </w:rPr>
  </w:style>
  <w:style w:type="paragraph" w:customStyle="1" w:styleId="13">
    <w:name w:val="Heading1"/>
    <w:basedOn w:val="1"/>
    <w:next w:val="1"/>
    <w:link w:val="17"/>
    <w:qFormat/>
    <w:uiPriority w:val="0"/>
    <w:pPr>
      <w:keepNext/>
      <w:keepLines/>
      <w:spacing w:before="340" w:after="330" w:line="576" w:lineRule="auto"/>
    </w:pPr>
    <w:rPr>
      <w:rFonts w:cs="Calibri"/>
      <w:b/>
      <w:bCs/>
      <w:kern w:val="44"/>
      <w:sz w:val="44"/>
      <w:szCs w:val="44"/>
    </w:rPr>
  </w:style>
  <w:style w:type="paragraph" w:customStyle="1" w:styleId="14">
    <w:name w:val="Heading2"/>
    <w:basedOn w:val="1"/>
    <w:next w:val="1"/>
    <w:link w:val="18"/>
    <w:qFormat/>
    <w:uiPriority w:val="0"/>
    <w:pPr>
      <w:keepNext/>
      <w:keepLines/>
      <w:spacing w:before="260" w:after="260" w:line="413" w:lineRule="auto"/>
    </w:pPr>
    <w:rPr>
      <w:rFonts w:ascii="Arial" w:hAnsi="Arial" w:eastAsia="黑体" w:cs="Calibri"/>
      <w:b/>
      <w:bCs/>
      <w:sz w:val="32"/>
      <w:szCs w:val="32"/>
    </w:rPr>
  </w:style>
  <w:style w:type="paragraph" w:customStyle="1" w:styleId="15">
    <w:name w:val="Heading3"/>
    <w:basedOn w:val="1"/>
    <w:next w:val="1"/>
    <w:link w:val="19"/>
    <w:qFormat/>
    <w:uiPriority w:val="0"/>
    <w:pPr>
      <w:keepNext/>
      <w:keepLines/>
      <w:spacing w:before="260" w:after="260" w:line="416" w:lineRule="auto"/>
    </w:pPr>
    <w:rPr>
      <w:rFonts w:cs="Calibri"/>
      <w:b/>
      <w:bCs/>
      <w:sz w:val="32"/>
      <w:szCs w:val="32"/>
    </w:rPr>
  </w:style>
  <w:style w:type="table" w:customStyle="1" w:styleId="16">
    <w:name w:val="TableNormal"/>
    <w:semiHidden/>
    <w:qFormat/>
    <w:uiPriority w:val="0"/>
    <w:tblPr>
      <w:tblCellMar>
        <w:top w:w="0" w:type="dxa"/>
        <w:left w:w="0" w:type="dxa"/>
        <w:bottom w:w="0" w:type="dxa"/>
        <w:right w:w="0" w:type="dxa"/>
      </w:tblCellMar>
    </w:tblPr>
  </w:style>
  <w:style w:type="character" w:customStyle="1" w:styleId="17">
    <w:name w:val="UserStyle_1"/>
    <w:link w:val="13"/>
    <w:qFormat/>
    <w:uiPriority w:val="0"/>
    <w:rPr>
      <w:rFonts w:eastAsia="宋体" w:cs="Calibri"/>
      <w:b/>
      <w:bCs/>
      <w:kern w:val="44"/>
      <w:sz w:val="44"/>
      <w:szCs w:val="44"/>
      <w:lang w:val="en-US" w:eastAsia="zh-CN" w:bidi="ar-SA"/>
    </w:rPr>
  </w:style>
  <w:style w:type="character" w:customStyle="1" w:styleId="18">
    <w:name w:val="UserStyle_2"/>
    <w:link w:val="14"/>
    <w:qFormat/>
    <w:uiPriority w:val="0"/>
    <w:rPr>
      <w:rFonts w:ascii="Arial" w:hAnsi="Arial" w:eastAsia="黑体" w:cs="Calibri"/>
      <w:b/>
      <w:bCs/>
      <w:kern w:val="2"/>
      <w:sz w:val="32"/>
      <w:szCs w:val="32"/>
      <w:lang w:val="en-US" w:eastAsia="zh-CN" w:bidi="ar-SA"/>
    </w:rPr>
  </w:style>
  <w:style w:type="character" w:customStyle="1" w:styleId="19">
    <w:name w:val="UserStyle_3"/>
    <w:link w:val="15"/>
    <w:semiHidden/>
    <w:qFormat/>
    <w:uiPriority w:val="0"/>
    <w:rPr>
      <w:rFonts w:eastAsia="宋体" w:cs="Calibri"/>
      <w:b/>
      <w:bCs/>
      <w:kern w:val="2"/>
      <w:sz w:val="32"/>
      <w:szCs w:val="32"/>
      <w:lang w:val="en-US" w:eastAsia="zh-CN" w:bidi="ar-SA"/>
    </w:rPr>
  </w:style>
  <w:style w:type="paragraph" w:customStyle="1" w:styleId="20">
    <w:name w:val="NavPane"/>
    <w:basedOn w:val="1"/>
    <w:semiHidden/>
    <w:qFormat/>
    <w:uiPriority w:val="0"/>
    <w:pPr>
      <w:shd w:val="clear" w:color="auto" w:fill="000080"/>
    </w:pPr>
  </w:style>
  <w:style w:type="paragraph" w:customStyle="1" w:styleId="21">
    <w:name w:val="AnnotationText"/>
    <w:basedOn w:val="1"/>
    <w:qFormat/>
    <w:uiPriority w:val="0"/>
    <w:pPr>
      <w:jc w:val="left"/>
    </w:pPr>
  </w:style>
  <w:style w:type="paragraph" w:customStyle="1" w:styleId="22">
    <w:name w:val="BodyTextIndent"/>
    <w:basedOn w:val="1"/>
    <w:qFormat/>
    <w:uiPriority w:val="0"/>
    <w:pPr>
      <w:spacing w:after="120"/>
      <w:ind w:left="420" w:leftChars="200"/>
    </w:pPr>
  </w:style>
  <w:style w:type="paragraph" w:customStyle="1" w:styleId="23">
    <w:name w:val="TOC3"/>
    <w:basedOn w:val="1"/>
    <w:next w:val="1"/>
    <w:qFormat/>
    <w:uiPriority w:val="0"/>
    <w:pPr>
      <w:ind w:left="840" w:leftChars="400"/>
    </w:pPr>
  </w:style>
  <w:style w:type="paragraph" w:customStyle="1" w:styleId="24">
    <w:name w:val="PlainText"/>
    <w:basedOn w:val="1"/>
    <w:qFormat/>
    <w:uiPriority w:val="0"/>
    <w:pPr>
      <w:spacing w:line="360" w:lineRule="atLeast"/>
      <w:jc w:val="left"/>
    </w:pPr>
    <w:rPr>
      <w:rFonts w:ascii="宋体" w:hAnsi="Courier New"/>
      <w:kern w:val="0"/>
      <w:szCs w:val="20"/>
    </w:rPr>
  </w:style>
  <w:style w:type="paragraph" w:customStyle="1" w:styleId="25">
    <w:name w:val="BodyTextIndent2"/>
    <w:basedOn w:val="1"/>
    <w:link w:val="26"/>
    <w:qFormat/>
    <w:uiPriority w:val="0"/>
    <w:pPr>
      <w:ind w:firstLine="660"/>
    </w:pPr>
    <w:rPr>
      <w:color w:val="FF0000"/>
      <w:sz w:val="28"/>
    </w:rPr>
  </w:style>
  <w:style w:type="character" w:customStyle="1" w:styleId="26">
    <w:name w:val="UserStyle_4"/>
    <w:link w:val="25"/>
    <w:qFormat/>
    <w:uiPriority w:val="0"/>
    <w:rPr>
      <w:rFonts w:eastAsia="宋体"/>
      <w:color w:val="FF0000"/>
      <w:kern w:val="2"/>
      <w:sz w:val="28"/>
      <w:szCs w:val="24"/>
      <w:lang w:val="en-US" w:eastAsia="zh-CN" w:bidi="ar-SA"/>
    </w:rPr>
  </w:style>
  <w:style w:type="paragraph" w:customStyle="1" w:styleId="27">
    <w:name w:val="Acetate"/>
    <w:basedOn w:val="1"/>
    <w:qFormat/>
    <w:uiPriority w:val="0"/>
    <w:rPr>
      <w:sz w:val="18"/>
      <w:szCs w:val="18"/>
    </w:rPr>
  </w:style>
  <w:style w:type="character" w:customStyle="1" w:styleId="28">
    <w:name w:val="页脚 Char"/>
    <w:link w:val="5"/>
    <w:qFormat/>
    <w:uiPriority w:val="0"/>
    <w:rPr>
      <w:kern w:val="2"/>
      <w:sz w:val="18"/>
      <w:szCs w:val="18"/>
    </w:rPr>
  </w:style>
  <w:style w:type="character" w:customStyle="1" w:styleId="29">
    <w:name w:val="页眉 Char"/>
    <w:link w:val="6"/>
    <w:qFormat/>
    <w:locked/>
    <w:uiPriority w:val="0"/>
    <w:rPr>
      <w:rFonts w:eastAsia="宋体"/>
      <w:kern w:val="2"/>
      <w:sz w:val="18"/>
      <w:szCs w:val="18"/>
      <w:lang w:val="en-US" w:eastAsia="zh-CN" w:bidi="ar-SA"/>
    </w:rPr>
  </w:style>
  <w:style w:type="paragraph" w:customStyle="1" w:styleId="30">
    <w:name w:val="TOC1"/>
    <w:basedOn w:val="1"/>
    <w:next w:val="1"/>
    <w:qFormat/>
    <w:uiPriority w:val="0"/>
    <w:pPr>
      <w:spacing w:line="360" w:lineRule="auto"/>
    </w:pPr>
    <w:rPr>
      <w:sz w:val="24"/>
    </w:rPr>
  </w:style>
  <w:style w:type="paragraph" w:customStyle="1" w:styleId="31">
    <w:name w:val="TOC2"/>
    <w:basedOn w:val="1"/>
    <w:next w:val="1"/>
    <w:qFormat/>
    <w:uiPriority w:val="0"/>
    <w:pPr>
      <w:ind w:left="420" w:leftChars="200"/>
    </w:pPr>
    <w:rPr>
      <w:sz w:val="24"/>
    </w:rPr>
  </w:style>
  <w:style w:type="paragraph" w:customStyle="1" w:styleId="32">
    <w:name w:val="HtmlNormal"/>
    <w:basedOn w:val="1"/>
    <w:qFormat/>
    <w:uiPriority w:val="0"/>
    <w:pPr>
      <w:spacing w:before="100" w:beforeAutospacing="1" w:after="100" w:afterAutospacing="1"/>
      <w:jc w:val="left"/>
    </w:pPr>
    <w:rPr>
      <w:rFonts w:ascii="宋体" w:hAnsi="宋体"/>
      <w:kern w:val="0"/>
      <w:sz w:val="24"/>
    </w:rPr>
  </w:style>
  <w:style w:type="paragraph" w:customStyle="1" w:styleId="33">
    <w:name w:val="AnnotationSubject"/>
    <w:basedOn w:val="21"/>
    <w:next w:val="21"/>
    <w:qFormat/>
    <w:uiPriority w:val="0"/>
    <w:rPr>
      <w:rFonts w:cs="Calibri"/>
      <w:b/>
      <w:bCs/>
    </w:rPr>
  </w:style>
  <w:style w:type="table" w:customStyle="1" w:styleId="34">
    <w:name w:val="TableGrid"/>
    <w:basedOn w:val="16"/>
    <w:qFormat/>
    <w:uiPriority w:val="0"/>
    <w:tblPr>
      <w:tblCellMar>
        <w:top w:w="0" w:type="dxa"/>
        <w:left w:w="0" w:type="dxa"/>
        <w:bottom w:w="0" w:type="dxa"/>
        <w:right w:w="0" w:type="dxa"/>
      </w:tblCellMar>
    </w:tblPr>
  </w:style>
  <w:style w:type="character" w:customStyle="1" w:styleId="35">
    <w:name w:val="PageNumber"/>
    <w:qFormat/>
    <w:uiPriority w:val="0"/>
  </w:style>
  <w:style w:type="character" w:customStyle="1" w:styleId="36">
    <w:name w:val="AnnotationReference"/>
    <w:qFormat/>
    <w:uiPriority w:val="0"/>
    <w:rPr>
      <w:sz w:val="21"/>
      <w:szCs w:val="21"/>
    </w:rPr>
  </w:style>
  <w:style w:type="character" w:customStyle="1" w:styleId="37">
    <w:name w:val="UserStyle_7"/>
    <w:link w:val="38"/>
    <w:qFormat/>
    <w:uiPriority w:val="0"/>
    <w:rPr>
      <w:rFonts w:eastAsia="仿宋_GB2312"/>
      <w:kern w:val="2"/>
      <w:sz w:val="21"/>
      <w:szCs w:val="18"/>
      <w:lang w:val="en-US" w:eastAsia="zh-CN" w:bidi="ar-SA"/>
    </w:rPr>
  </w:style>
  <w:style w:type="paragraph" w:customStyle="1" w:styleId="38">
    <w:name w:val="UserStyle_8"/>
    <w:basedOn w:val="1"/>
    <w:link w:val="37"/>
    <w:qFormat/>
    <w:uiPriority w:val="0"/>
    <w:pPr>
      <w:spacing w:line="240" w:lineRule="exact"/>
      <w:jc w:val="center"/>
    </w:pPr>
    <w:rPr>
      <w:rFonts w:eastAsia="仿宋_GB2312"/>
      <w:szCs w:val="18"/>
    </w:rPr>
  </w:style>
  <w:style w:type="character" w:customStyle="1" w:styleId="39">
    <w:name w:val="UserStyle_9"/>
    <w:qFormat/>
    <w:uiPriority w:val="0"/>
    <w:rPr>
      <w:rFonts w:ascii="宋体" w:hAnsi="宋体" w:eastAsia="宋体"/>
      <w:color w:val="000000"/>
      <w:sz w:val="22"/>
      <w:szCs w:val="22"/>
    </w:rPr>
  </w:style>
  <w:style w:type="character" w:customStyle="1" w:styleId="40">
    <w:name w:val="UserStyle_10"/>
    <w:qFormat/>
    <w:uiPriority w:val="0"/>
  </w:style>
  <w:style w:type="character" w:customStyle="1" w:styleId="41">
    <w:name w:val="UserStyle_11"/>
    <w:qFormat/>
    <w:uiPriority w:val="0"/>
    <w:rPr>
      <w:color w:val="FF0000"/>
      <w:kern w:val="2"/>
      <w:sz w:val="28"/>
      <w:szCs w:val="24"/>
    </w:rPr>
  </w:style>
  <w:style w:type="paragraph" w:customStyle="1" w:styleId="42">
    <w:name w:val="UserStyle_12"/>
    <w:basedOn w:val="1"/>
    <w:qFormat/>
    <w:uiPriority w:val="0"/>
  </w:style>
  <w:style w:type="paragraph" w:customStyle="1" w:styleId="43">
    <w:name w:val="UserStyle_13"/>
    <w:basedOn w:val="1"/>
    <w:qFormat/>
    <w:uiPriority w:val="0"/>
    <w:pPr>
      <w:snapToGrid w:val="0"/>
      <w:spacing w:line="360" w:lineRule="auto"/>
      <w:ind w:firstLine="200" w:firstLineChars="200"/>
    </w:pPr>
    <w:rPr>
      <w:rFonts w:eastAsia="仿宋_GB2312"/>
      <w:sz w:val="24"/>
    </w:rPr>
  </w:style>
  <w:style w:type="paragraph" w:customStyle="1" w:styleId="44">
    <w:name w:val="UserStyle_14"/>
    <w:basedOn w:val="1"/>
    <w:qFormat/>
    <w:uiPriority w:val="0"/>
    <w:pPr>
      <w:ind w:firstLine="538" w:firstLineChars="192"/>
    </w:pPr>
    <w:rPr>
      <w:rFonts w:ascii="宋体" w:hAnsi="宋体"/>
      <w:sz w:val="28"/>
      <w:szCs w:val="28"/>
    </w:rPr>
  </w:style>
  <w:style w:type="paragraph" w:customStyle="1" w:styleId="45">
    <w:name w:val="UserStyle_15"/>
    <w:basedOn w:val="1"/>
    <w:qFormat/>
    <w:uiPriority w:val="0"/>
  </w:style>
  <w:style w:type="paragraph" w:customStyle="1" w:styleId="46">
    <w:name w:val="UserStyle_16"/>
    <w:basedOn w:val="1"/>
    <w:qFormat/>
    <w:uiPriority w:val="0"/>
    <w:pPr>
      <w:spacing w:line="837" w:lineRule="atLeast"/>
      <w:ind w:left="1"/>
    </w:pPr>
    <w:rPr>
      <w:color w:val="000000"/>
      <w:kern w:val="0"/>
      <w:szCs w:val="21"/>
    </w:rPr>
  </w:style>
  <w:style w:type="paragraph" w:customStyle="1" w:styleId="47">
    <w:name w:val="UserStyle_17"/>
    <w:basedOn w:val="1"/>
    <w:qFormat/>
    <w:uiPriority w:val="0"/>
  </w:style>
  <w:style w:type="paragraph" w:customStyle="1" w:styleId="48">
    <w:name w:val="UserStyle_18"/>
    <w:basedOn w:val="1"/>
    <w:qFormat/>
    <w:uiPriority w:val="0"/>
    <w:pPr>
      <w:spacing w:line="240" w:lineRule="atLeast"/>
      <w:jc w:val="left"/>
    </w:pPr>
    <w:rPr>
      <w:rFonts w:ascii="宋体"/>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39</Pages>
  <Words>13987</Words>
  <Characters>14452</Characters>
  <Lines>110</Lines>
  <Paragraphs>31</Paragraphs>
  <TotalTime>44</TotalTime>
  <ScaleCrop>false</ScaleCrop>
  <LinksUpToDate>false</LinksUpToDate>
  <CharactersWithSpaces>14609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2022-09-18T00:51:00Z</dcterms:created>
  <dc:creator>666</dc:creator>
  <cp:lastModifiedBy>演示人</cp:lastModifiedBy>
  <cp:lastPrinted>2022-10-10T04:50:00Z</cp:lastPrinted>
  <dcterms:modified xsi:type="dcterms:W3CDTF">2023-02-03T03:01:52Z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2F788432840C4FF59334FD15627734E5</vt:lpwstr>
  </property>
</Properties>
</file>