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4"/>
      <w:r>
        <w:rPr>
          <w:rFonts w:hint="eastAsia" w:ascii="方正小标宋_GBK" w:hAnsi="方正小标宋_GBK" w:eastAsia="方正小标宋_GBK"/>
          <w:b w:val="0"/>
          <w:bCs w:val="0"/>
          <w:sz w:val="30"/>
        </w:rPr>
        <w:t>卫生健康领域基层政务公开标准目录</w:t>
      </w:r>
      <w:bookmarkEnd w:id="0"/>
    </w:p>
    <w:tbl>
      <w:tblPr>
        <w:tblStyle w:val="9"/>
        <w:tblW w:w="15588" w:type="dxa"/>
        <w:tblInd w:w="-8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188"/>
        <w:gridCol w:w="4140"/>
        <w:gridCol w:w="1800"/>
        <w:gridCol w:w="1440"/>
        <w:gridCol w:w="720"/>
        <w:gridCol w:w="1080"/>
        <w:gridCol w:w="720"/>
        <w:gridCol w:w="720"/>
        <w:gridCol w:w="596"/>
        <w:gridCol w:w="720"/>
        <w:gridCol w:w="54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08"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41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08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16"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188"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41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6"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720" w:type="dxa"/>
            <w:vMerge w:val="restart"/>
            <w:shd w:val="clear" w:color="auto" w:fill="auto"/>
            <w:vAlign w:val="center"/>
          </w:tcPr>
          <w:p>
            <w:pPr>
              <w:jc w:val="center"/>
              <w:rPr>
                <w:rFonts w:ascii="仿宋_GB2312" w:hAnsi="宋体" w:eastAsia="仿宋_GB2312" w:cs="宋体"/>
                <w:bCs/>
                <w:color w:val="000000"/>
                <w:sz w:val="18"/>
                <w:szCs w:val="18"/>
              </w:rPr>
            </w:pPr>
            <w:r>
              <w:rPr>
                <w:rFonts w:hint="eastAsia" w:ascii="仿宋_GB2312" w:hAnsi="宋体" w:eastAsia="仿宋_GB2312"/>
                <w:bCs/>
                <w:color w:val="000000"/>
                <w:sz w:val="18"/>
                <w:szCs w:val="18"/>
              </w:rPr>
              <w:t>行政许可类事项</w:t>
            </w:r>
          </w:p>
        </w:tc>
        <w:tc>
          <w:tcPr>
            <w:tcW w:w="1188" w:type="dxa"/>
            <w:vMerge w:val="restart"/>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母婴保健技术服务机构执业许可（包括计划生育技术服务机构执业许可）（权限内）</w:t>
            </w:r>
          </w:p>
        </w:tc>
        <w:tc>
          <w:tcPr>
            <w:tcW w:w="41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1.法律法规和政策文件</w:t>
            </w:r>
            <w:r>
              <w:rPr>
                <w:rFonts w:hint="eastAsia" w:ascii="仿宋_GB2312" w:hAnsi="宋体" w:eastAsia="仿宋_GB2312" w:cs="宋体"/>
                <w:color w:val="000000"/>
                <w:sz w:val="18"/>
                <w:szCs w:val="18"/>
              </w:rPr>
              <w:t>；</w:t>
            </w:r>
          </w:p>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r>
              <w:rPr>
                <w:rFonts w:hint="eastAsia" w:ascii="仿宋_GB2312" w:hAnsi="宋体" w:eastAsia="仿宋_GB2312"/>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s="宋体"/>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母婴保健法》、《计划生育技术服务管理条例》、《母婴保健法实施办法》、《国务院关于第六批取消和调整行政审批项目的决定》、《国家卫生健康委关于修改&lt;职业健康检查管理办法&gt;等4部门规章的决定》</w:t>
            </w:r>
          </w:p>
        </w:tc>
        <w:tc>
          <w:tcPr>
            <w:tcW w:w="14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720" w:type="dxa"/>
            <w:vMerge w:val="continue"/>
            <w:shd w:val="clear" w:color="auto" w:fill="auto"/>
            <w:vAlign w:val="center"/>
          </w:tcPr>
          <w:p>
            <w:pPr>
              <w:rPr>
                <w:rFonts w:ascii="仿宋_GB2312" w:hAnsi="宋体" w:eastAsia="仿宋_GB2312" w:cs="宋体"/>
                <w:bCs/>
                <w:color w:val="000000"/>
                <w:sz w:val="18"/>
                <w:szCs w:val="18"/>
              </w:rPr>
            </w:pPr>
          </w:p>
        </w:tc>
        <w:tc>
          <w:tcPr>
            <w:tcW w:w="1188" w:type="dxa"/>
            <w:vMerge w:val="continue"/>
            <w:shd w:val="clear" w:color="auto" w:fill="auto"/>
            <w:vAlign w:val="center"/>
          </w:tcPr>
          <w:p>
            <w:pPr>
              <w:rPr>
                <w:rFonts w:ascii="仿宋_GB2312" w:hAnsi="宋体" w:eastAsia="仿宋_GB2312" w:cs="宋体"/>
                <w:color w:val="000000"/>
                <w:sz w:val="18"/>
                <w:szCs w:val="18"/>
              </w:rPr>
            </w:pPr>
          </w:p>
        </w:tc>
        <w:tc>
          <w:tcPr>
            <w:tcW w:w="4140" w:type="dxa"/>
            <w:shd w:val="clear" w:color="auto" w:fill="auto"/>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结果信息——母婴保健技术服务执业许可证信息</w:t>
            </w:r>
          </w:p>
        </w:tc>
        <w:tc>
          <w:tcPr>
            <w:tcW w:w="1800" w:type="dxa"/>
            <w:vMerge w:val="continue"/>
            <w:vAlign w:val="center"/>
          </w:tcPr>
          <w:p>
            <w:pPr>
              <w:rPr>
                <w:rFonts w:ascii="仿宋_GB2312" w:hAnsi="宋体" w:eastAsia="仿宋_GB2312" w:cs="宋体"/>
                <w:color w:val="000000"/>
                <w:sz w:val="18"/>
                <w:szCs w:val="18"/>
              </w:rPr>
            </w:pPr>
          </w:p>
        </w:tc>
        <w:tc>
          <w:tcPr>
            <w:tcW w:w="14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9" w:hRule="atLeas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母婴保健服务人员资格认定（包括计划生育技术服务人员合格证）（权限内）</w:t>
            </w:r>
          </w:p>
        </w:tc>
        <w:tc>
          <w:tcPr>
            <w:tcW w:w="414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p>
            <w:pPr>
              <w:rPr>
                <w:rFonts w:ascii="仿宋_GB2312" w:hAnsi="宋体" w:eastAsia="仿宋_GB2312"/>
                <w:color w:val="000000"/>
                <w:sz w:val="18"/>
                <w:szCs w:val="18"/>
              </w:rPr>
            </w:pP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、《母婴保健法》、《计划生育技术服务管理条例》、《母婴保健法实施办法》、《国家卫生健康委关于修改&lt;职业健康检查管理办法&gt;等4部门规章的决定》、《计划生育技术服务管理条例实施细则》</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188" w:type="dxa"/>
            <w:vMerge w:val="continue"/>
            <w:shd w:val="clear" w:color="auto" w:fill="auto"/>
            <w:vAlign w:val="center"/>
          </w:tcPr>
          <w:p>
            <w:pPr>
              <w:rPr>
                <w:rFonts w:ascii="仿宋_GB2312" w:hAnsi="宋体" w:eastAsia="仿宋_GB2312"/>
                <w:color w:val="000000"/>
                <w:sz w:val="18"/>
                <w:szCs w:val="18"/>
              </w:rPr>
            </w:pPr>
          </w:p>
        </w:tc>
        <w:tc>
          <w:tcPr>
            <w:tcW w:w="414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vAlign w:val="center"/>
          </w:tcPr>
          <w:p>
            <w:pPr>
              <w:rPr>
                <w:rFonts w:ascii="仿宋_GB2312" w:hAnsi="宋体" w:eastAsia="仿宋_GB2312"/>
                <w:color w:val="000000"/>
                <w:sz w:val="18"/>
                <w:szCs w:val="18"/>
              </w:rPr>
            </w:pP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医疗机构设置审批（含港澳台，外商独资除外）（权限内）</w:t>
            </w:r>
            <w:bookmarkStart w:id="1" w:name="_GoBack"/>
            <w:bookmarkEnd w:id="1"/>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、《中华人民共和国中医药法》、《医疗机构管理条例》、《国务院关于取消和下放50项行政审批项目等事项的决定》、《医疗机构管理条例实施细则》、《医疗美容服务管理办法》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188" w:type="dxa"/>
            <w:vMerge w:val="continue"/>
            <w:shd w:val="clear" w:color="auto" w:fill="auto"/>
            <w:vAlign w:val="center"/>
          </w:tcPr>
          <w:p>
            <w:pPr>
              <w:rPr>
                <w:rFonts w:ascii="仿宋_GB2312" w:hAnsi="宋体" w:eastAsia="仿宋_GB2312"/>
                <w:color w:val="000000"/>
                <w:sz w:val="18"/>
                <w:szCs w:val="18"/>
              </w:rPr>
            </w:pP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结果信息——设置审批结果信息</w:t>
            </w:r>
          </w:p>
        </w:tc>
        <w:tc>
          <w:tcPr>
            <w:tcW w:w="1800" w:type="dxa"/>
            <w:vMerge w:val="continue"/>
            <w:vAlign w:val="center"/>
          </w:tcPr>
          <w:p>
            <w:pPr>
              <w:rPr>
                <w:rFonts w:ascii="仿宋_GB2312" w:hAnsi="宋体" w:eastAsia="仿宋_GB2312"/>
                <w:color w:val="000000"/>
                <w:sz w:val="18"/>
                <w:szCs w:val="18"/>
              </w:rPr>
            </w:pP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医疗机构执业登记（人体器官移植除外）（权限内）</w:t>
            </w: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、《医疗机构管理条例》、《医疗机构管理条例实施细则》、《医疗美容服务管理办法》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188" w:type="dxa"/>
            <w:vMerge w:val="continue"/>
            <w:shd w:val="clear" w:color="auto" w:fill="auto"/>
            <w:vAlign w:val="center"/>
          </w:tcPr>
          <w:p>
            <w:pPr>
              <w:rPr>
                <w:rFonts w:ascii="仿宋_GB2312" w:hAnsi="宋体" w:eastAsia="仿宋_GB2312"/>
                <w:color w:val="000000"/>
                <w:sz w:val="18"/>
                <w:szCs w:val="18"/>
              </w:rPr>
            </w:pP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结果信息——医疗机构名称、地址、诊疗科目、法定代表人、主要负责人、登记号、医疗机构执业许可证有效期限、审批机关</w:t>
            </w:r>
          </w:p>
        </w:tc>
        <w:tc>
          <w:tcPr>
            <w:tcW w:w="1800" w:type="dxa"/>
            <w:vMerge w:val="continue"/>
            <w:vAlign w:val="center"/>
          </w:tcPr>
          <w:p>
            <w:pPr>
              <w:rPr>
                <w:rFonts w:ascii="仿宋_GB2312" w:hAnsi="宋体" w:eastAsia="仿宋_GB2312"/>
                <w:color w:val="000000"/>
                <w:sz w:val="18"/>
                <w:szCs w:val="18"/>
              </w:rPr>
            </w:pP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01 行政许可类事项</w:t>
            </w:r>
          </w:p>
        </w:tc>
        <w:tc>
          <w:tcPr>
            <w:tcW w:w="1188"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医师执业注册（权限内）</w:t>
            </w: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《中华人民共和国执业医师法》</w:t>
            </w:r>
            <w:r>
              <w:rPr>
                <w:rFonts w:hint="eastAsia" w:ascii="仿宋_GB2312" w:hAnsi="宋体" w:eastAsia="仿宋_GB2312"/>
                <w:color w:val="000000"/>
                <w:sz w:val="18"/>
                <w:szCs w:val="18"/>
              </w:rPr>
              <w:t>、《医师执业注册管理办法》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188" w:type="dxa"/>
            <w:vMerge w:val="continue"/>
            <w:shd w:val="clear" w:color="auto" w:fill="auto"/>
            <w:vAlign w:val="center"/>
          </w:tcPr>
          <w:p>
            <w:pPr>
              <w:rPr>
                <w:rFonts w:ascii="仿宋_GB2312" w:hAnsi="宋体" w:eastAsia="仿宋_GB2312"/>
                <w:color w:val="000000"/>
                <w:sz w:val="18"/>
                <w:szCs w:val="18"/>
              </w:rPr>
            </w:pPr>
          </w:p>
        </w:tc>
        <w:tc>
          <w:tcPr>
            <w:tcW w:w="41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vAlign w:val="center"/>
          </w:tcPr>
          <w:p>
            <w:pPr>
              <w:jc w:val="center"/>
              <w:rPr>
                <w:rFonts w:ascii="仿宋_GB2312" w:hAnsi="宋体" w:eastAsia="仿宋_GB2312"/>
                <w:color w:val="000000"/>
                <w:sz w:val="18"/>
                <w:szCs w:val="18"/>
              </w:rPr>
            </w:pP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护士执业注册（权限内）</w:t>
            </w:r>
          </w:p>
        </w:tc>
        <w:tc>
          <w:tcPr>
            <w:tcW w:w="414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、《护士条例》、《国务院关于取消和下放一批行政许可事项的决定》、《国家卫生健康委关于做好下放护士执业注册审批有关工作的通知》、《护士执业注册管理办法》</w:t>
            </w: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宋体" w:hAnsi="宋体" w:cs="宋体"/>
                <w:color w:val="000000"/>
                <w:kern w:val="0"/>
                <w:sz w:val="18"/>
                <w:szCs w:val="18"/>
              </w:rPr>
            </w:pPr>
          </w:p>
        </w:tc>
        <w:tc>
          <w:tcPr>
            <w:tcW w:w="720" w:type="dxa"/>
            <w:vMerge w:val="continue"/>
            <w:shd w:val="clear" w:color="auto" w:fill="auto"/>
            <w:vAlign w:val="center"/>
          </w:tcPr>
          <w:p>
            <w:pPr>
              <w:widowControl/>
              <w:jc w:val="left"/>
              <w:rPr>
                <w:rFonts w:ascii="宋体" w:hAnsi="宋体" w:cs="宋体"/>
                <w:bCs/>
                <w:color w:val="000000"/>
                <w:kern w:val="0"/>
                <w:sz w:val="15"/>
                <w:szCs w:val="15"/>
              </w:rPr>
            </w:pPr>
          </w:p>
        </w:tc>
        <w:tc>
          <w:tcPr>
            <w:tcW w:w="1188" w:type="dxa"/>
            <w:vMerge w:val="continue"/>
            <w:shd w:val="clear" w:color="auto" w:fill="auto"/>
            <w:vAlign w:val="center"/>
          </w:tcPr>
          <w:p>
            <w:pPr>
              <w:widowControl/>
              <w:jc w:val="left"/>
              <w:rPr>
                <w:rFonts w:ascii="宋体" w:hAnsi="宋体" w:cs="宋体"/>
                <w:color w:val="000000"/>
                <w:kern w:val="0"/>
                <w:sz w:val="15"/>
                <w:szCs w:val="15"/>
              </w:rPr>
            </w:pPr>
          </w:p>
        </w:tc>
        <w:tc>
          <w:tcPr>
            <w:tcW w:w="414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vAlign w:val="center"/>
          </w:tcPr>
          <w:p>
            <w:pPr>
              <w:widowControl/>
              <w:jc w:val="left"/>
              <w:rPr>
                <w:rFonts w:ascii="仿宋_GB2312" w:hAnsi="宋体" w:eastAsia="仿宋_GB2312"/>
                <w:color w:val="000000"/>
                <w:sz w:val="18"/>
                <w:szCs w:val="18"/>
              </w:rPr>
            </w:pP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饮用水供水单位卫生许可（权限内）</w:t>
            </w:r>
          </w:p>
        </w:tc>
        <w:tc>
          <w:tcPr>
            <w:tcW w:w="414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《中华人民共和国传染病防治法》</w:t>
            </w:r>
            <w:r>
              <w:rPr>
                <w:rFonts w:hint="eastAsia" w:ascii="仿宋_GB2312" w:hAnsi="宋体" w:eastAsia="仿宋_GB2312"/>
                <w:color w:val="000000"/>
                <w:sz w:val="18"/>
                <w:szCs w:val="18"/>
              </w:rPr>
              <w:t>、《传染病防治法实施办法》、《国务院对确需保留的行政审批项目设定行政许可的决定》、《生活饮用水卫生监督管理办法》</w:t>
            </w: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仿宋_GB2312" w:hAnsi="宋体" w:eastAsia="仿宋_GB2312"/>
                <w:color w:val="000000"/>
                <w:sz w:val="18"/>
                <w:szCs w:val="18"/>
              </w:rPr>
            </w:pPr>
          </w:p>
        </w:tc>
        <w:tc>
          <w:tcPr>
            <w:tcW w:w="720" w:type="dxa"/>
            <w:vMerge w:val="continue"/>
            <w:shd w:val="clear" w:color="auto" w:fill="auto"/>
            <w:vAlign w:val="center"/>
          </w:tcPr>
          <w:p>
            <w:pPr>
              <w:widowControl/>
              <w:jc w:val="left"/>
              <w:rPr>
                <w:rFonts w:ascii="仿宋_GB2312" w:hAnsi="宋体" w:eastAsia="仿宋_GB2312"/>
                <w:color w:val="000000"/>
                <w:sz w:val="18"/>
                <w:szCs w:val="18"/>
              </w:rPr>
            </w:pPr>
          </w:p>
        </w:tc>
        <w:tc>
          <w:tcPr>
            <w:tcW w:w="1188" w:type="dxa"/>
            <w:vMerge w:val="continue"/>
            <w:shd w:val="clear" w:color="auto" w:fill="auto"/>
            <w:vAlign w:val="center"/>
          </w:tcPr>
          <w:p>
            <w:pPr>
              <w:widowControl/>
              <w:jc w:val="left"/>
              <w:rPr>
                <w:rFonts w:ascii="仿宋_GB2312" w:hAnsi="宋体" w:eastAsia="仿宋_GB2312"/>
                <w:color w:val="000000"/>
                <w:sz w:val="18"/>
                <w:szCs w:val="18"/>
              </w:rPr>
            </w:pPr>
          </w:p>
        </w:tc>
        <w:tc>
          <w:tcPr>
            <w:tcW w:w="414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结果信息——卫生许可证信息</w:t>
            </w:r>
          </w:p>
        </w:tc>
        <w:tc>
          <w:tcPr>
            <w:tcW w:w="1800" w:type="dxa"/>
            <w:vMerge w:val="continue"/>
            <w:vAlign w:val="center"/>
          </w:tcPr>
          <w:p>
            <w:pPr>
              <w:widowControl/>
              <w:jc w:val="left"/>
              <w:rPr>
                <w:rFonts w:ascii="仿宋_GB2312" w:hAnsi="宋体" w:eastAsia="仿宋_GB2312"/>
                <w:color w:val="000000"/>
                <w:sz w:val="18"/>
                <w:szCs w:val="18"/>
              </w:rPr>
            </w:pP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shd w:val="clear" w:color="auto" w:fill="auto"/>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公共场所卫生许可</w:t>
            </w:r>
          </w:p>
        </w:tc>
        <w:tc>
          <w:tcPr>
            <w:tcW w:w="414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、《公共场所卫生管理条例》、《国务院关于整合调整餐饮服务场所的公共场所卫生许可证和食品经营许可的决定》、《公共场所卫生管理条例实施细则》</w:t>
            </w: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结果信息——卫生许可证信息</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080" w:type="dxa"/>
            <w:vMerge w:val="continue"/>
            <w:shd w:val="clear" w:color="auto" w:fill="auto"/>
            <w:vAlign w:val="center"/>
          </w:tcPr>
          <w:p>
            <w:pPr>
              <w:widowControl/>
              <w:rPr>
                <w:rFonts w:ascii="仿宋_GB2312" w:hAnsi="宋体" w:eastAsia="仿宋_GB2312"/>
                <w:color w:val="000000"/>
                <w:sz w:val="18"/>
                <w:szCs w:val="18"/>
              </w:rPr>
            </w:pPr>
          </w:p>
        </w:tc>
        <w:tc>
          <w:tcPr>
            <w:tcW w:w="720" w:type="dxa"/>
            <w:shd w:val="clear" w:color="auto" w:fill="auto"/>
            <w:vAlign w:val="center"/>
          </w:tcPr>
          <w:p>
            <w:pPr>
              <w:widowControl/>
              <w:rPr>
                <w:rFonts w:ascii="仿宋_GB2312" w:hAnsi="宋体" w:eastAsia="仿宋_GB2312"/>
                <w:color w:val="000000"/>
                <w:sz w:val="18"/>
                <w:szCs w:val="18"/>
              </w:rPr>
            </w:pPr>
          </w:p>
        </w:tc>
        <w:tc>
          <w:tcPr>
            <w:tcW w:w="720" w:type="dxa"/>
            <w:shd w:val="clear" w:color="auto" w:fill="auto"/>
            <w:vAlign w:val="center"/>
          </w:tcPr>
          <w:p>
            <w:pPr>
              <w:widowControl/>
              <w:rPr>
                <w:rFonts w:ascii="仿宋_GB2312" w:hAnsi="宋体" w:eastAsia="仿宋_GB2312"/>
                <w:color w:val="000000"/>
                <w:sz w:val="18"/>
                <w:szCs w:val="18"/>
              </w:rPr>
            </w:pPr>
          </w:p>
        </w:tc>
        <w:tc>
          <w:tcPr>
            <w:tcW w:w="596" w:type="dxa"/>
            <w:shd w:val="clear" w:color="auto" w:fill="auto"/>
            <w:vAlign w:val="center"/>
          </w:tcPr>
          <w:p>
            <w:pPr>
              <w:widowControl/>
              <w:rPr>
                <w:rFonts w:ascii="仿宋_GB2312" w:hAnsi="宋体" w:eastAsia="仿宋_GB2312"/>
                <w:color w:val="000000"/>
                <w:sz w:val="18"/>
                <w:szCs w:val="18"/>
              </w:rPr>
            </w:pPr>
          </w:p>
        </w:tc>
        <w:tc>
          <w:tcPr>
            <w:tcW w:w="720" w:type="dxa"/>
            <w:shd w:val="clear" w:color="auto" w:fill="auto"/>
            <w:vAlign w:val="center"/>
          </w:tcPr>
          <w:p>
            <w:pPr>
              <w:widowControl/>
              <w:rPr>
                <w:rFonts w:ascii="仿宋_GB2312" w:hAnsi="宋体" w:eastAsia="仿宋_GB2312"/>
                <w:color w:val="000000"/>
                <w:sz w:val="18"/>
                <w:szCs w:val="18"/>
              </w:rPr>
            </w:pPr>
          </w:p>
        </w:tc>
        <w:tc>
          <w:tcPr>
            <w:tcW w:w="540" w:type="dxa"/>
            <w:shd w:val="clear" w:color="auto" w:fill="auto"/>
            <w:vAlign w:val="center"/>
          </w:tcPr>
          <w:p>
            <w:pPr>
              <w:widowControl/>
              <w:rPr>
                <w:rFonts w:ascii="仿宋_GB2312" w:hAnsi="宋体" w:eastAsia="仿宋_GB2312"/>
                <w:color w:val="000000"/>
                <w:sz w:val="18"/>
                <w:szCs w:val="18"/>
              </w:rPr>
            </w:pPr>
          </w:p>
        </w:tc>
        <w:tc>
          <w:tcPr>
            <w:tcW w:w="664" w:type="dxa"/>
            <w:shd w:val="clear" w:color="auto" w:fill="auto"/>
            <w:vAlign w:val="center"/>
          </w:tcPr>
          <w:p>
            <w:pPr>
              <w:widowControl/>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公共场所卫生许可</w:t>
            </w:r>
          </w:p>
        </w:tc>
        <w:tc>
          <w:tcPr>
            <w:tcW w:w="414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《中华人民共和国行政许可法》</w:t>
            </w:r>
            <w:r>
              <w:rPr>
                <w:rFonts w:hint="eastAsia" w:ascii="仿宋_GB2312" w:hAnsi="宋体" w:eastAsia="仿宋_GB2312"/>
                <w:color w:val="000000"/>
                <w:sz w:val="18"/>
                <w:szCs w:val="18"/>
              </w:rPr>
              <w:t>、《公共场所卫生管理条例》、《国务院关于整合调整餐饮服务场所的公共场所卫生许可证和食品经营许可的决定》、《公共场所卫生管理条例实施细则》</w:t>
            </w: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结果信息——放射诊疗许可证信息</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080" w:type="dxa"/>
            <w:vMerge w:val="continue"/>
            <w:shd w:val="clear" w:color="auto" w:fill="auto"/>
            <w:vAlign w:val="center"/>
          </w:tcPr>
          <w:p>
            <w:pPr>
              <w:widowControl/>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shd w:val="clear" w:color="auto" w:fill="auto"/>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对未经批准擅 自开办医疗机 构行医或者非 法医师行医的 处罚</w:t>
            </w:r>
          </w:p>
        </w:tc>
        <w:tc>
          <w:tcPr>
            <w:tcW w:w="414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投诉举报电话以及网上投诉渠道</w:t>
            </w:r>
          </w:p>
        </w:tc>
        <w:tc>
          <w:tcPr>
            <w:tcW w:w="1800" w:type="dxa"/>
            <w:vMerge w:val="restart"/>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【法律】《中华人民共和国行政处罚法》 （中华人民共和国主席令第 63 号 2009 年 8 月 27 日修正） 【法律】《中华人民共和国执业医师法》 （中华人民共和国主席令第 5 号 2009 年 8 月 27 日修正） 【行政法规】《医疗机构管理条例》（中华人民共和国国务院令第 149 号 2016 年 2 月 6 日修改） 【部门规章及规范性文件】《医疗机构管理 条例实施细则》（中华人民共和国卫生部令 第 35 号） 【部门规章及规范性文件】《卫生行政处罚 程序》（1997 年 6 月 19 日中华人民共和国卫 生部令第 53 号）</w:t>
            </w:r>
          </w:p>
        </w:tc>
        <w:tc>
          <w:tcPr>
            <w:tcW w:w="1440" w:type="dxa"/>
            <w:vMerge w:val="restart"/>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受理和立案信息，包括：案件受理记录、立案报告；</w:t>
            </w:r>
          </w:p>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告知信息，包括：行政处罚事先告知书、听证告知书</w:t>
            </w:r>
          </w:p>
        </w:tc>
        <w:tc>
          <w:tcPr>
            <w:tcW w:w="1800" w:type="dxa"/>
            <w:vMerge w:val="continue"/>
            <w:vAlign w:val="center"/>
          </w:tcPr>
          <w:p>
            <w:pPr>
              <w:widowControl/>
              <w:rPr>
                <w:rFonts w:ascii="仿宋_GB2312" w:hAnsi="宋体" w:eastAsia="仿宋_GB2312"/>
                <w:color w:val="000000"/>
                <w:sz w:val="18"/>
                <w:szCs w:val="18"/>
              </w:rPr>
            </w:pPr>
          </w:p>
        </w:tc>
        <w:tc>
          <w:tcPr>
            <w:tcW w:w="1440" w:type="dxa"/>
            <w:vMerge w:val="continue"/>
            <w:shd w:val="clear" w:color="auto" w:fill="auto"/>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08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■精准推送        </w:t>
            </w:r>
          </w:p>
        </w:tc>
        <w:tc>
          <w:tcPr>
            <w:tcW w:w="720" w:type="dxa"/>
            <w:shd w:val="clear" w:color="auto" w:fill="auto"/>
            <w:vAlign w:val="center"/>
          </w:tcPr>
          <w:p>
            <w:pPr>
              <w:widowControl/>
              <w:jc w:val="center"/>
              <w:rPr>
                <w:rFonts w:ascii="仿宋_GB2312" w:hAnsi="宋体" w:eastAsia="仿宋_GB2312"/>
                <w:color w:val="000000"/>
                <w:sz w:val="18"/>
                <w:szCs w:val="18"/>
              </w:rPr>
            </w:pP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行政相对人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rPr>
                <w:rFonts w:ascii="仿宋_GB2312" w:hAnsi="宋体" w:eastAsia="仿宋_GB2312"/>
                <w:color w:val="000000"/>
                <w:sz w:val="18"/>
                <w:szCs w:val="18"/>
              </w:rPr>
            </w:pP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188" w:type="dxa"/>
            <w:vMerge w:val="continue"/>
            <w:shd w:val="clear" w:color="auto" w:fill="auto"/>
            <w:vAlign w:val="center"/>
          </w:tcPr>
          <w:p>
            <w:pPr>
              <w:widowControl/>
              <w:rPr>
                <w:rFonts w:ascii="仿宋_GB2312" w:hAnsi="宋体" w:eastAsia="仿宋_GB2312"/>
                <w:color w:val="000000"/>
                <w:sz w:val="18"/>
                <w:szCs w:val="18"/>
              </w:rPr>
            </w:pPr>
          </w:p>
        </w:tc>
        <w:tc>
          <w:tcPr>
            <w:tcW w:w="41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vAlign w:val="center"/>
          </w:tcPr>
          <w:p>
            <w:pPr>
              <w:widowControl/>
              <w:rPr>
                <w:rFonts w:ascii="仿宋_GB2312" w:hAnsi="宋体" w:eastAsia="仿宋_GB2312"/>
                <w:color w:val="000000"/>
                <w:sz w:val="18"/>
                <w:szCs w:val="18"/>
              </w:rPr>
            </w:pPr>
          </w:p>
        </w:tc>
        <w:tc>
          <w:tcPr>
            <w:tcW w:w="144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shd w:val="clear" w:color="auto" w:fill="auto"/>
            <w:vAlign w:val="center"/>
          </w:tcPr>
          <w:p>
            <w:pPr>
              <w:widowControl/>
              <w:rPr>
                <w:rFonts w:ascii="仿宋_GB2312" w:hAnsi="宋体" w:eastAsia="仿宋_GB2312"/>
                <w:color w:val="000000"/>
                <w:sz w:val="18"/>
                <w:szCs w:val="18"/>
              </w:rPr>
            </w:pPr>
          </w:p>
        </w:tc>
        <w:tc>
          <w:tcPr>
            <w:tcW w:w="1080" w:type="dxa"/>
            <w:shd w:val="clear" w:color="auto" w:fill="auto"/>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shd w:val="clear" w:color="auto" w:fill="auto"/>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pPr>
        <w:rPr>
          <w:rFonts w:ascii="楷体_GB2312" w:eastAsia="楷体_GB2312"/>
          <w:sz w:val="30"/>
          <w:szCs w:val="30"/>
        </w:rPr>
      </w:pPr>
      <w:r>
        <w:rPr>
          <w:rFonts w:hint="eastAsia" w:ascii="楷体_GB2312" w:eastAsia="楷体_GB2312"/>
          <w:sz w:val="30"/>
          <w:szCs w:val="30"/>
        </w:rPr>
        <w:t>备注：考虑到篇幅原因，卫生健康领域基层政务公开标准目录其他内容略。详见</w:t>
      </w:r>
      <w:r>
        <w:fldChar w:fldCharType="begin"/>
      </w:r>
      <w:r>
        <w:instrText xml:space="preserve"> HYPERLINK "http://www.nhc.gov.cn/bgt/s7692/201909/0f5c5f6f96eb4a218ccd2b15ca0ce294.shtml" </w:instrText>
      </w:r>
      <w:r>
        <w:fldChar w:fldCharType="separate"/>
      </w:r>
      <w:r>
        <w:rPr>
          <w:rStyle w:val="14"/>
          <w:rFonts w:ascii="楷体_GB2312" w:eastAsia="楷体_GB2312"/>
          <w:sz w:val="30"/>
          <w:szCs w:val="30"/>
        </w:rPr>
        <w:t>http://www.nhc.gov.cn/bgt/s7692/201909/0f5c5f6f96eb4a218ccd2b15ca0ce294.shtml</w:t>
      </w:r>
      <w:r>
        <w:rPr>
          <w:rStyle w:val="14"/>
          <w:rFonts w:ascii="楷体_GB2312" w:eastAsia="楷体_GB2312"/>
          <w:sz w:val="30"/>
          <w:szCs w:val="30"/>
        </w:rPr>
        <w:fldChar w:fldCharType="end"/>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c2MGM1ZDBiNDVkMjMzY2ZmMTc1MDY0MWJhYTUzMWQifQ=="/>
  </w:docVars>
  <w:rsids>
    <w:rsidRoot w:val="00416393"/>
    <w:rsid w:val="000C224A"/>
    <w:rsid w:val="00146120"/>
    <w:rsid w:val="001571C2"/>
    <w:rsid w:val="00190068"/>
    <w:rsid w:val="00193DB9"/>
    <w:rsid w:val="001E6D63"/>
    <w:rsid w:val="00200C4C"/>
    <w:rsid w:val="002967AA"/>
    <w:rsid w:val="002E0878"/>
    <w:rsid w:val="002F05A8"/>
    <w:rsid w:val="0032504F"/>
    <w:rsid w:val="003B2C77"/>
    <w:rsid w:val="004077CB"/>
    <w:rsid w:val="00416393"/>
    <w:rsid w:val="00505CE0"/>
    <w:rsid w:val="00612901"/>
    <w:rsid w:val="006B2C7F"/>
    <w:rsid w:val="0077273F"/>
    <w:rsid w:val="00794728"/>
    <w:rsid w:val="008438B0"/>
    <w:rsid w:val="00902A01"/>
    <w:rsid w:val="00A41EEC"/>
    <w:rsid w:val="00AA6B60"/>
    <w:rsid w:val="00B56955"/>
    <w:rsid w:val="00C3715A"/>
    <w:rsid w:val="00D31D5E"/>
    <w:rsid w:val="00D932AD"/>
    <w:rsid w:val="00DA2C84"/>
    <w:rsid w:val="00F07C25"/>
    <w:rsid w:val="00FA002F"/>
    <w:rsid w:val="035A1347"/>
    <w:rsid w:val="0CC100DD"/>
    <w:rsid w:val="25C21CC5"/>
    <w:rsid w:val="2AB7751F"/>
    <w:rsid w:val="30777AD0"/>
    <w:rsid w:val="31A50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qFormat/>
    <w:uiPriority w:val="0"/>
    <w:pPr>
      <w:jc w:val="left"/>
    </w:pPr>
  </w:style>
  <w:style w:type="paragraph" w:styleId="4">
    <w:name w:val="Balloon Text"/>
    <w:basedOn w:val="1"/>
    <w:link w:val="20"/>
    <w:semiHidden/>
    <w:qFormat/>
    <w:uiPriority w:val="0"/>
    <w:rPr>
      <w:sz w:val="18"/>
      <w:szCs w:val="18"/>
    </w:rPr>
  </w:style>
  <w:style w:type="paragraph" w:styleId="5">
    <w:name w:val="footer"/>
    <w:basedOn w:val="1"/>
    <w:link w:val="23"/>
    <w:qFormat/>
    <w:uiPriority w:val="0"/>
    <w:pPr>
      <w:tabs>
        <w:tab w:val="center" w:pos="4153"/>
        <w:tab w:val="right" w:pos="8306"/>
      </w:tabs>
      <w:snapToGrid w:val="0"/>
      <w:jc w:val="left"/>
    </w:pPr>
    <w:rPr>
      <w:sz w:val="18"/>
      <w:szCs w:val="18"/>
    </w:rPr>
  </w:style>
  <w:style w:type="paragraph" w:styleId="6">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9"/>
    <w:semiHidden/>
    <w:qFormat/>
    <w:uiPriority w:val="0"/>
    <w:rPr>
      <w:b/>
      <w:bCs/>
    </w:rPr>
  </w:style>
  <w:style w:type="table" w:styleId="10">
    <w:name w:val="Table Grid"/>
    <w:basedOn w:val="9"/>
    <w:qFormat/>
    <w:uiPriority w:val="0"/>
    <w:rPr>
      <w:rFonts w:ascii="Calibri" w:hAnsi="Calibri"/>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FollowedHyperlink"/>
    <w:basedOn w:val="11"/>
    <w:semiHidden/>
    <w:unhideWhenUsed/>
    <w:uiPriority w:val="99"/>
    <w:rPr>
      <w:color w:val="954F72" w:themeColor="followedHyperlink"/>
      <w:u w:val="single"/>
    </w:rPr>
  </w:style>
  <w:style w:type="character" w:styleId="14">
    <w:name w:val="Hyperlink"/>
    <w:qFormat/>
    <w:uiPriority w:val="0"/>
    <w:rPr>
      <w:color w:val="0000FF"/>
      <w:u w:val="single"/>
    </w:rPr>
  </w:style>
  <w:style w:type="character" w:styleId="15">
    <w:name w:val="annotation reference"/>
    <w:semiHidden/>
    <w:qFormat/>
    <w:uiPriority w:val="0"/>
    <w:rPr>
      <w:sz w:val="21"/>
      <w:szCs w:val="21"/>
    </w:rPr>
  </w:style>
  <w:style w:type="character" w:customStyle="1" w:styleId="16">
    <w:name w:val="标题 1 Char"/>
    <w:basedOn w:val="11"/>
    <w:link w:val="2"/>
    <w:qFormat/>
    <w:uiPriority w:val="0"/>
    <w:rPr>
      <w:rFonts w:ascii="Calibri" w:hAnsi="Calibri" w:eastAsia="宋体" w:cs="Times New Roman"/>
      <w:b/>
      <w:bCs/>
      <w:kern w:val="44"/>
      <w:sz w:val="44"/>
      <w:szCs w:val="44"/>
    </w:rPr>
  </w:style>
  <w:style w:type="paragraph" w:customStyle="1" w:styleId="17">
    <w:name w:val="列出段落1"/>
    <w:basedOn w:val="1"/>
    <w:qFormat/>
    <w:uiPriority w:val="0"/>
    <w:pPr>
      <w:ind w:firstLine="420" w:firstLineChars="200"/>
    </w:pPr>
    <w:rPr>
      <w:rFonts w:ascii="等线" w:hAnsi="等线" w:eastAsia="等线"/>
    </w:rPr>
  </w:style>
  <w:style w:type="character" w:customStyle="1" w:styleId="18">
    <w:name w:val="批注文字 Char"/>
    <w:basedOn w:val="11"/>
    <w:link w:val="3"/>
    <w:semiHidden/>
    <w:qFormat/>
    <w:uiPriority w:val="0"/>
    <w:rPr>
      <w:rFonts w:ascii="Calibri" w:hAnsi="Calibri" w:eastAsia="宋体" w:cs="Times New Roman"/>
    </w:rPr>
  </w:style>
  <w:style w:type="character" w:customStyle="1" w:styleId="19">
    <w:name w:val="批注主题 Char"/>
    <w:basedOn w:val="18"/>
    <w:link w:val="8"/>
    <w:semiHidden/>
    <w:qFormat/>
    <w:uiPriority w:val="0"/>
    <w:rPr>
      <w:rFonts w:ascii="Calibri" w:hAnsi="Calibri" w:eastAsia="宋体" w:cs="Times New Roman"/>
      <w:b/>
      <w:bCs/>
    </w:rPr>
  </w:style>
  <w:style w:type="character" w:customStyle="1" w:styleId="20">
    <w:name w:val="批注框文本 Char"/>
    <w:basedOn w:val="11"/>
    <w:link w:val="4"/>
    <w:semiHidden/>
    <w:qFormat/>
    <w:uiPriority w:val="0"/>
    <w:rPr>
      <w:rFonts w:ascii="Calibri" w:hAnsi="Calibri" w:eastAsia="宋体" w:cs="Times New Roman"/>
      <w:sz w:val="18"/>
      <w:szCs w:val="18"/>
    </w:rPr>
  </w:style>
  <w:style w:type="paragraph" w:customStyle="1" w:styleId="21">
    <w:name w:val="列出段落11"/>
    <w:basedOn w:val="1"/>
    <w:qFormat/>
    <w:uiPriority w:val="0"/>
    <w:pPr>
      <w:ind w:firstLine="420" w:firstLineChars="200"/>
    </w:pPr>
  </w:style>
  <w:style w:type="character" w:customStyle="1" w:styleId="22">
    <w:name w:val="页眉 Char"/>
    <w:basedOn w:val="11"/>
    <w:link w:val="6"/>
    <w:qFormat/>
    <w:uiPriority w:val="0"/>
    <w:rPr>
      <w:rFonts w:ascii="Calibri" w:hAnsi="Calibri" w:eastAsia="宋体" w:cs="Times New Roman"/>
      <w:sz w:val="18"/>
      <w:szCs w:val="18"/>
    </w:rPr>
  </w:style>
  <w:style w:type="character" w:customStyle="1" w:styleId="23">
    <w:name w:val="页脚 Char"/>
    <w:basedOn w:val="11"/>
    <w:link w:val="5"/>
    <w:qFormat/>
    <w:uiPriority w:val="0"/>
    <w:rPr>
      <w:rFonts w:ascii="Calibri" w:hAnsi="Calibri" w:eastAsia="宋体" w:cs="Times New Roman"/>
      <w:sz w:val="18"/>
      <w:szCs w:val="18"/>
    </w:rPr>
  </w:style>
  <w:style w:type="character" w:customStyle="1" w:styleId="24">
    <w:name w:val="Unresolved Mention"/>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FC0AE-F949-4A74-8F1B-7B27CC6414F5}">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9</Pages>
  <Words>4236</Words>
  <Characters>4372</Characters>
  <Lines>35</Lines>
  <Paragraphs>9</Paragraphs>
  <TotalTime>4</TotalTime>
  <ScaleCrop>false</ScaleCrop>
  <LinksUpToDate>false</LinksUpToDate>
  <CharactersWithSpaces>4610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2020-03-06T07:44:00Z</dcterms:created>
  <dc:creator>tai yuzhu</dc:creator>
  <cp:lastModifiedBy>劉</cp:lastModifiedBy>
  <cp:lastPrinted>2020-11-11T07:20:00Z</cp:lastPrinted>
  <dcterms:modified xsi:type="dcterms:W3CDTF">2023-10-12T02:46:05Z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3E6CB01DDF3D46CF9CE8A988D6F94CD9</vt:lpwstr>
  </property>
</Properties>
</file>